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6F9F23" w14:textId="77777777" w:rsidR="004B430D" w:rsidRDefault="004B430D" w:rsidP="00C72EB7">
      <w:pPr>
        <w:rPr>
          <w:lang w:val="es-ES_tradnl"/>
        </w:rPr>
      </w:pPr>
    </w:p>
    <w:p w14:paraId="2F1D5B57" w14:textId="77777777" w:rsidR="00B47413" w:rsidRDefault="00B47413" w:rsidP="00C72EB7">
      <w:pPr>
        <w:rPr>
          <w:lang w:val="es-ES_tradnl"/>
        </w:rPr>
      </w:pPr>
    </w:p>
    <w:p w14:paraId="06DCB3C2" w14:textId="0A9E9A40" w:rsidR="00431EB7" w:rsidRPr="0092659D" w:rsidRDefault="00BC18DB" w:rsidP="00C72EB7">
      <w:pPr>
        <w:pStyle w:val="Ttulo"/>
      </w:pPr>
      <w:r w:rsidRPr="0092659D">
        <w:t>LA LEGALIZACIÓN DE LAS APUESTAS DEPORTIVAS EN ESTADOS UNIDOS. EL IMPACTO DE LA SENTENCIA DEL TRIBUNAL SUPREMO MURPHY V. NCAA, DE 14 DE MAYO DE 2018</w:t>
      </w:r>
    </w:p>
    <w:p w14:paraId="16903092" w14:textId="77777777" w:rsidR="00431EB7" w:rsidRPr="00431EB7" w:rsidRDefault="00431EB7" w:rsidP="00C72EB7">
      <w:pPr>
        <w:pStyle w:val="Titulocapitulo"/>
      </w:pPr>
    </w:p>
    <w:p w14:paraId="42F486AA" w14:textId="77777777" w:rsidR="00B123B1" w:rsidRPr="00C72EB7" w:rsidRDefault="00B123B1" w:rsidP="00C72EB7">
      <w:pPr>
        <w:pStyle w:val="Autor"/>
      </w:pPr>
      <w:r w:rsidRPr="00C72EB7">
        <w:t xml:space="preserve">Ramón </w:t>
      </w:r>
      <w:proofErr w:type="spellStart"/>
      <w:r w:rsidRPr="00C72EB7">
        <w:t>Terol</w:t>
      </w:r>
      <w:proofErr w:type="spellEnd"/>
      <w:r w:rsidRPr="00C72EB7">
        <w:t xml:space="preserve"> Gómez</w:t>
      </w:r>
    </w:p>
    <w:p w14:paraId="39DF0738" w14:textId="77777777" w:rsidR="00B123B1" w:rsidRPr="00C72EB7" w:rsidRDefault="00B123B1" w:rsidP="00C72EB7">
      <w:pPr>
        <w:pStyle w:val="Cargo"/>
      </w:pPr>
      <w:r w:rsidRPr="00C72EB7">
        <w:t>Profesor Titular de Derecho Administrativo</w:t>
      </w:r>
    </w:p>
    <w:p w14:paraId="5AF14B65" w14:textId="53BDD725" w:rsidR="00B47413" w:rsidRPr="00C72EB7" w:rsidRDefault="00B123B1" w:rsidP="00C72EB7">
      <w:pPr>
        <w:pStyle w:val="Ttulo1"/>
      </w:pPr>
      <w:r w:rsidRPr="00C72EB7">
        <w:t>Universidad de Alicante</w:t>
      </w:r>
    </w:p>
    <w:p w14:paraId="3FA7F57B" w14:textId="34F3872D" w:rsidR="001F42E2" w:rsidRDefault="001F42E2" w:rsidP="00C72EB7">
      <w:pPr>
        <w:rPr>
          <w:rFonts w:eastAsia="Cambria" w:cs="Times New Roman"/>
          <w:color w:val="7F7F7F" w:themeColor="text1" w:themeTint="80"/>
          <w:lang w:eastAsia="es-ES"/>
        </w:rPr>
      </w:pPr>
      <w:r w:rsidRPr="001F42E2">
        <w:rPr>
          <w:noProof/>
          <w:lang w:val="es-ES_tradnl"/>
        </w:rPr>
        <mc:AlternateContent>
          <mc:Choice Requires="wps">
            <w:drawing>
              <wp:anchor distT="0" distB="0" distL="114300" distR="114300" simplePos="0" relativeHeight="251659264" behindDoc="0" locked="0" layoutInCell="1" allowOverlap="1" wp14:anchorId="05022319" wp14:editId="0104707A">
                <wp:simplePos x="0" y="0"/>
                <wp:positionH relativeFrom="column">
                  <wp:posOffset>-709295</wp:posOffset>
                </wp:positionH>
                <wp:positionV relativeFrom="paragraph">
                  <wp:posOffset>204724</wp:posOffset>
                </wp:positionV>
                <wp:extent cx="7536095" cy="59150"/>
                <wp:effectExtent l="0" t="0" r="8255" b="17145"/>
                <wp:wrapNone/>
                <wp:docPr id="199020397" name="Rectángulo 9"/>
                <wp:cNvGraphicFramePr/>
                <a:graphic xmlns:a="http://schemas.openxmlformats.org/drawingml/2006/main">
                  <a:graphicData uri="http://schemas.microsoft.com/office/word/2010/wordprocessingShape">
                    <wps:wsp>
                      <wps:cNvSpPr/>
                      <wps:spPr>
                        <a:xfrm>
                          <a:off x="0" y="0"/>
                          <a:ext cx="7536095" cy="59150"/>
                        </a:xfrm>
                        <a:prstGeom prst="rect">
                          <a:avLst/>
                        </a:prstGeom>
                        <a:solidFill>
                          <a:schemeClr val="accent2">
                            <a:lumMod val="20000"/>
                            <a:lumOff val="80000"/>
                          </a:schemeClr>
                        </a:solidFill>
                        <a:ln>
                          <a:solidFill>
                            <a:schemeClr val="accent2">
                              <a:lumMod val="50000"/>
                            </a:schemeClr>
                          </a:solidFill>
                        </a:ln>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rect w14:anchorId="06145B20" id="Rectángulo 9" o:spid="_x0000_s1026" style="position:absolute;margin-left:-55.85pt;margin-top:16.1pt;width:593.4pt;height:4.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" fillcolor="#fae2d5 [661]" strokecolor="#7f340d [1605]" strokeweight="1pt"/>
            </w:pict>
          </mc:Fallback>
        </mc:AlternateContent>
      </w:r>
    </w:p>
    <w:p w14:paraId="62AF7D1C" w14:textId="2AD0E4C8" w:rsidR="00B123B1" w:rsidRPr="00B123B1" w:rsidRDefault="00B123B1" w:rsidP="00C72EB7">
      <w:pPr>
        <w:rPr>
          <w:lang w:eastAsia="es-ES"/>
        </w:rPr>
      </w:pPr>
    </w:p>
    <w:p w14:paraId="705916EF" w14:textId="3F04A44A" w:rsidR="00431EB7" w:rsidRPr="00BA0044" w:rsidRDefault="00431EB7" w:rsidP="00C72EB7">
      <w:pPr>
        <w:pStyle w:val="Resumen"/>
        <w:rPr>
          <w:sz w:val="22"/>
          <w:szCs w:val="22"/>
        </w:rPr>
      </w:pPr>
      <w:r w:rsidRPr="00BA0044">
        <w:rPr>
          <w:sz w:val="22"/>
          <w:szCs w:val="22"/>
        </w:rPr>
        <w:t>Fecha de recepción: 1 octubre 2025</w:t>
      </w:r>
    </w:p>
    <w:p w14:paraId="1BA59A1F" w14:textId="41E924BA" w:rsidR="00431EB7" w:rsidRPr="00BA0044" w:rsidRDefault="00431EB7" w:rsidP="00C72EB7">
      <w:pPr>
        <w:pStyle w:val="Resumen"/>
        <w:rPr>
          <w:sz w:val="22"/>
          <w:szCs w:val="22"/>
        </w:rPr>
      </w:pPr>
      <w:r w:rsidRPr="00BA0044">
        <w:rPr>
          <w:sz w:val="22"/>
          <w:szCs w:val="22"/>
        </w:rPr>
        <w:t>Fecha de aceptación: 1 octubre 2025</w:t>
      </w:r>
    </w:p>
    <w:p w14:paraId="4A1C0B8E" w14:textId="77777777" w:rsidR="00B123B1" w:rsidRDefault="00B123B1" w:rsidP="00C72EB7">
      <w:pPr>
        <w:rPr>
          <w:lang w:eastAsia="es-ES"/>
        </w:rPr>
      </w:pPr>
    </w:p>
    <w:p w14:paraId="0ACAF6F0" w14:textId="77777777" w:rsidR="001F42E2" w:rsidRDefault="001F42E2" w:rsidP="00C72EB7">
      <w:pPr>
        <w:rPr>
          <w:lang w:eastAsia="es-ES"/>
        </w:rPr>
      </w:pPr>
    </w:p>
    <w:p w14:paraId="53D1000B" w14:textId="2A73D1D1" w:rsidR="003B533D" w:rsidRPr="00C72EB7" w:rsidRDefault="00431EB7" w:rsidP="00C72EB7">
      <w:pPr>
        <w:pStyle w:val="Resumen"/>
        <w:spacing w:line="276" w:lineRule="auto"/>
        <w:rPr>
          <w:rFonts w:eastAsiaTheme="minorHAnsi" w:cstheme="minorBidi"/>
          <w:b w:val="0"/>
          <w:bCs w:val="0"/>
          <w:color w:val="auto"/>
          <w:kern w:val="2"/>
          <w:lang w:val="en-US" w:eastAsia="en-US"/>
          <w14:ligatures w14:val="standardContextual"/>
        </w:rPr>
      </w:pPr>
      <w:r w:rsidRPr="00C72EB7">
        <w:rPr>
          <w:rStyle w:val="Ttulodellibro"/>
          <w:b/>
          <w:bCs/>
        </w:rPr>
        <w:t>RESUMEN:</w:t>
      </w:r>
      <w:r w:rsidRPr="001F42E2">
        <w:rPr>
          <w:rFonts w:cs="Arial"/>
          <w:color w:val="80340D" w:themeColor="accent2" w:themeShade="80"/>
        </w:rPr>
        <w:t xml:space="preserve"> </w:t>
      </w:r>
      <w:r w:rsidRPr="00C72EB7">
        <w:rPr>
          <w:rFonts w:eastAsiaTheme="minorHAnsi" w:cstheme="minorBidi"/>
          <w:b w:val="0"/>
          <w:bCs w:val="0"/>
          <w:color w:val="auto"/>
          <w:kern w:val="2"/>
          <w:lang w:val="en-US" w:eastAsia="en-US"/>
          <w14:ligatures w14:val="standardContextual"/>
        </w:rPr>
        <w:t xml:space="preserve">Partiendo de una referencia general a la regulación de las actividades de juegos y apuestas en Estados Unidos, señalando la legislación federal relevante y reconociendo la preminencia de los distintos Estados dadas sus competencias sobre la materia, en el presente trabajo nos centraremos en las apuestas deportivas, que estando prohibidas salvo en muy pocos Estados por la federal Professional and Amateur </w:t>
      </w:r>
      <w:proofErr w:type="spellStart"/>
      <w:r w:rsidRPr="00C72EB7">
        <w:rPr>
          <w:rFonts w:eastAsiaTheme="minorHAnsi" w:cstheme="minorBidi"/>
          <w:b w:val="0"/>
          <w:bCs w:val="0"/>
          <w:color w:val="auto"/>
          <w:kern w:val="2"/>
          <w:lang w:val="en-US" w:eastAsia="en-US"/>
          <w14:ligatures w14:val="standardContextual"/>
        </w:rPr>
        <w:t>Sports</w:t>
      </w:r>
      <w:proofErr w:type="spellEnd"/>
      <w:r w:rsidRPr="00C72EB7">
        <w:rPr>
          <w:rFonts w:eastAsiaTheme="minorHAnsi" w:cstheme="minorBidi"/>
          <w:b w:val="0"/>
          <w:bCs w:val="0"/>
          <w:color w:val="auto"/>
          <w:kern w:val="2"/>
          <w:lang w:val="en-US" w:eastAsia="en-US"/>
          <w14:ligatures w14:val="standardContextual"/>
        </w:rPr>
        <w:t xml:space="preserve"> </w:t>
      </w:r>
      <w:proofErr w:type="spellStart"/>
      <w:r w:rsidRPr="00C72EB7">
        <w:rPr>
          <w:rFonts w:eastAsiaTheme="minorHAnsi" w:cstheme="minorBidi"/>
          <w:b w:val="0"/>
          <w:bCs w:val="0"/>
          <w:color w:val="auto"/>
          <w:kern w:val="2"/>
          <w:lang w:val="en-US" w:eastAsia="en-US"/>
          <w14:ligatures w14:val="standardContextual"/>
        </w:rPr>
        <w:t>Act</w:t>
      </w:r>
      <w:proofErr w:type="spellEnd"/>
      <w:r w:rsidRPr="00C72EB7">
        <w:rPr>
          <w:rFonts w:eastAsiaTheme="minorHAnsi" w:cstheme="minorBidi"/>
          <w:b w:val="0"/>
          <w:bCs w:val="0"/>
          <w:color w:val="auto"/>
          <w:kern w:val="2"/>
          <w:lang w:val="en-US" w:eastAsia="en-US"/>
          <w14:ligatures w14:val="standardContextual"/>
        </w:rPr>
        <w:t xml:space="preserve"> de 1992, la misma ha sido declarada inconstitucional por la Sentencia del Tribunal Supremo de 14 de mayo de 2018. Ello supone un cambio de escenario en la industria del deporte del que se trata de dar cuenta.</w:t>
      </w:r>
    </w:p>
    <w:p w14:paraId="442CC7BF" w14:textId="77777777" w:rsidR="003B533D" w:rsidRDefault="003B533D" w:rsidP="00C72EB7"/>
    <w:p w14:paraId="1127F56A" w14:textId="4FDCE829" w:rsidR="003B533D" w:rsidRPr="00C72EB7" w:rsidRDefault="003B533D" w:rsidP="00C72EB7">
      <w:r w:rsidRPr="0092659D">
        <w:rPr>
          <w:rStyle w:val="Ttulodellibro"/>
        </w:rPr>
        <w:t>PALABRAS CLAVE:</w:t>
      </w:r>
      <w:r w:rsidRPr="001F42E2">
        <w:rPr>
          <w:rFonts w:cs="Arial"/>
          <w:b/>
          <w:bCs/>
          <w:color w:val="80340D" w:themeColor="accent2" w:themeShade="80"/>
          <w:kern w:val="0"/>
          <w14:ligatures w14:val="none"/>
        </w:rPr>
        <w:t xml:space="preserve"> </w:t>
      </w:r>
      <w:proofErr w:type="spellStart"/>
      <w:r w:rsidRPr="001F42E2">
        <w:t>juego</w:t>
      </w:r>
      <w:proofErr w:type="spellEnd"/>
      <w:r w:rsidRPr="001F42E2">
        <w:t xml:space="preserve">, </w:t>
      </w:r>
      <w:proofErr w:type="spellStart"/>
      <w:r w:rsidRPr="00C72EB7">
        <w:t>apuestas</w:t>
      </w:r>
      <w:proofErr w:type="spellEnd"/>
      <w:r w:rsidRPr="00C72EB7">
        <w:t xml:space="preserve"> </w:t>
      </w:r>
      <w:proofErr w:type="spellStart"/>
      <w:r w:rsidRPr="00C72EB7">
        <w:t>deportivas</w:t>
      </w:r>
      <w:proofErr w:type="spellEnd"/>
      <w:r w:rsidRPr="00C72EB7">
        <w:t xml:space="preserve">, </w:t>
      </w:r>
      <w:proofErr w:type="spellStart"/>
      <w:r w:rsidRPr="00C72EB7">
        <w:t>deporte</w:t>
      </w:r>
      <w:proofErr w:type="spellEnd"/>
      <w:r w:rsidRPr="00C72EB7">
        <w:t xml:space="preserve"> </w:t>
      </w:r>
      <w:proofErr w:type="spellStart"/>
      <w:r w:rsidRPr="00C72EB7">
        <w:t>profesional</w:t>
      </w:r>
      <w:proofErr w:type="spellEnd"/>
      <w:r w:rsidRPr="00C72EB7">
        <w:t>.</w:t>
      </w:r>
    </w:p>
    <w:p w14:paraId="68C358B7" w14:textId="77777777" w:rsidR="00C72EB7" w:rsidRPr="001F42E2" w:rsidRDefault="00C72EB7" w:rsidP="00C72EB7"/>
    <w:p w14:paraId="581D2E98" w14:textId="292F4CEF" w:rsidR="00431EB7" w:rsidRDefault="00431EB7" w:rsidP="00C72EB7">
      <w:r w:rsidRPr="0092659D">
        <w:rPr>
          <w:rStyle w:val="Ttulodellibro"/>
        </w:rPr>
        <w:t>ABSTRACT:</w:t>
      </w:r>
      <w:r w:rsidRPr="001F42E2">
        <w:rPr>
          <w:rFonts w:cs="Arial"/>
          <w:color w:val="80340D" w:themeColor="accent2" w:themeShade="80"/>
          <w:kern w:val="0"/>
          <w14:ligatures w14:val="none"/>
        </w:rPr>
        <w:t xml:space="preserve"> </w:t>
      </w:r>
      <w:r w:rsidRPr="00C72EB7">
        <w:t>Starting from a general reference to the regulation of gambling and betting activities in the United States, pointing out the relevant federal legislation and recognizing the pre-eminence of the different States given their competences on the regulation of gambling, in this paper we will focus on sports betting, that being banned except in very few States by the federal Professional and Amateur Sports Act of 1992. This law has been declared unconstitutional by the Supreme Court of the United States judgment of May 14, 2018. This implies an important change of scenery in United States sports</w:t>
      </w:r>
      <w:r w:rsidRPr="001F42E2">
        <w:t xml:space="preserve"> industry.</w:t>
      </w:r>
    </w:p>
    <w:p w14:paraId="16A7283F" w14:textId="77777777" w:rsidR="00C72EB7" w:rsidRPr="001F42E2" w:rsidRDefault="00C72EB7" w:rsidP="00C72EB7"/>
    <w:p w14:paraId="5A74FCFE" w14:textId="7219126A" w:rsidR="00431EB7" w:rsidRPr="001F42E2" w:rsidRDefault="00431EB7" w:rsidP="00C72EB7">
      <w:r w:rsidRPr="0092659D">
        <w:rPr>
          <w:rStyle w:val="Ttulodellibro"/>
        </w:rPr>
        <w:t>KEYWORDS:</w:t>
      </w:r>
      <w:r w:rsidRPr="001F42E2">
        <w:t xml:space="preserve"> gambling, sports betting, professional sports. </w:t>
      </w:r>
    </w:p>
    <w:p w14:paraId="1E5F2BD3" w14:textId="77777777" w:rsidR="00B123B1" w:rsidRDefault="00B123B1" w:rsidP="00C72EB7">
      <w:pPr>
        <w:rPr>
          <w:lang w:eastAsia="es-ES"/>
        </w:rPr>
      </w:pPr>
    </w:p>
    <w:p w14:paraId="193877C6" w14:textId="77777777" w:rsidR="00431EB7" w:rsidRDefault="00431EB7" w:rsidP="00C72EB7">
      <w:pPr>
        <w:rPr>
          <w:lang w:eastAsia="es-ES"/>
        </w:rPr>
      </w:pPr>
    </w:p>
    <w:p w14:paraId="5D76BA83" w14:textId="77777777" w:rsidR="001F42E2" w:rsidRDefault="001F42E2" w:rsidP="00C72EB7">
      <w:pPr>
        <w:rPr>
          <w:lang w:eastAsia="es-ES"/>
        </w:rPr>
      </w:pPr>
    </w:p>
    <w:p w14:paraId="170AB09C" w14:textId="77777777" w:rsidR="00E327AF" w:rsidRDefault="00E327AF" w:rsidP="00C72EB7">
      <w:pPr>
        <w:rPr>
          <w:lang w:eastAsia="es-ES"/>
        </w:rPr>
      </w:pPr>
    </w:p>
    <w:p w14:paraId="0B6175D6" w14:textId="2E84DF84" w:rsidR="00233E2E" w:rsidRDefault="00233E2E" w:rsidP="00C72EB7">
      <w:pPr>
        <w:rPr>
          <w:lang w:eastAsia="es-ES"/>
        </w:rPr>
      </w:pPr>
    </w:p>
    <w:p w14:paraId="3A7F840D" w14:textId="48F9A9EF" w:rsidR="00BA0044" w:rsidRDefault="00BA0044" w:rsidP="00C72EB7">
      <w:pPr>
        <w:rPr>
          <w:lang w:eastAsia="es-ES"/>
        </w:rPr>
      </w:pPr>
    </w:p>
    <w:p w14:paraId="2CF90D0B" w14:textId="697622F4" w:rsidR="00BA0044" w:rsidRDefault="00BA0044" w:rsidP="00C72EB7">
      <w:pPr>
        <w:rPr>
          <w:lang w:eastAsia="es-ES"/>
        </w:rPr>
      </w:pPr>
    </w:p>
    <w:p w14:paraId="7427E12D" w14:textId="77777777" w:rsidR="00BA0044" w:rsidRDefault="00BA0044" w:rsidP="00C72EB7">
      <w:pPr>
        <w:rPr>
          <w:lang w:eastAsia="es-ES"/>
        </w:rPr>
      </w:pPr>
    </w:p>
    <w:p w14:paraId="2D338A9C" w14:textId="38F662D3" w:rsidR="006A31ED" w:rsidRDefault="006A31ED" w:rsidP="00C72EB7">
      <w:pPr>
        <w:rPr>
          <w:lang w:eastAsia="es-ES"/>
        </w:rPr>
      </w:pPr>
    </w:p>
    <w:p w14:paraId="5F3A0CA5" w14:textId="77777777" w:rsidR="00BA0044" w:rsidRDefault="00BA0044" w:rsidP="00A04C0A">
      <w:pPr>
        <w:jc w:val="center"/>
        <w:rPr>
          <w:lang w:eastAsia="es-ES"/>
        </w:rPr>
      </w:pPr>
    </w:p>
    <w:p w14:paraId="57983DC4" w14:textId="77777777" w:rsidR="006A31ED" w:rsidRDefault="006A31ED" w:rsidP="00C72EB7">
      <w:pPr>
        <w:rPr>
          <w:lang w:eastAsia="es-ES"/>
        </w:rPr>
      </w:pPr>
    </w:p>
    <w:p w14:paraId="36483E4E" w14:textId="77559875" w:rsidR="00A10111" w:rsidRDefault="00BA0044" w:rsidP="00BA0044">
      <w:pPr>
        <w:pStyle w:val="1NIVEL-PLANTILLAREVISTA"/>
      </w:pPr>
      <w:r w:rsidRPr="00BA0044">
        <w:rPr>
          <w:b w:val="0"/>
          <w:bCs w:val="0"/>
        </w:rPr>
        <w:t>1.</w:t>
      </w:r>
      <w:r>
        <w:t xml:space="preserve"> </w:t>
      </w:r>
      <w:r w:rsidR="00A10111" w:rsidRPr="00C72EB7">
        <w:t>INTRODUCCIÓN. CONSIDERACIONES DE CARÁCTER GENERAL SOBRE LA REGULACIÓN DEL JUEGO EN LOS ESTADOS UNIDOS</w:t>
      </w:r>
    </w:p>
    <w:p w14:paraId="22A1D455" w14:textId="77777777" w:rsidR="00BA0044" w:rsidRPr="00C72EB7" w:rsidRDefault="00BA0044" w:rsidP="00BA0044">
      <w:pPr>
        <w:pStyle w:val="1NIVEL-PLANTILLAREVISTA"/>
      </w:pPr>
    </w:p>
    <w:p w14:paraId="4E545BE1" w14:textId="6BDA13B2" w:rsidR="00A10111" w:rsidRDefault="00A10111" w:rsidP="00C72EB7">
      <w:r w:rsidRPr="00C51D67">
        <w:t xml:space="preserve">Resultando bien conocido que Estados Unidos es una república federal que agrupa a cincuenta Estados, no es preciso extenderse en que las relaciones de estos con el Gobierno federal en lo que a la distribución de competencias se refiere queda regulado de un modo escueto y ciertamente poco preciso en su longeva Constitución de 1787, cuya Décima Enmienda establece que “los poderes que la Constitución no delega a los Estados Unidos ni prohíbe a los Estados, queda reservados a los Estados respectivamente o al pueblo”. </w:t>
      </w:r>
    </w:p>
    <w:p w14:paraId="28327645" w14:textId="77777777" w:rsidR="00BA0044" w:rsidRDefault="00BA0044" w:rsidP="00C72EB7"/>
    <w:p w14:paraId="5E313345" w14:textId="39E13B7C" w:rsidR="0092659D" w:rsidRDefault="0092659D" w:rsidP="00C72EB7">
      <w:r w:rsidRPr="001F42E2">
        <w:t>En cuanto a las facultades del Gobierno federal, estas se señalan en la misma Constitución, debiendo destacarse la que es considerada la mayor arma en manos de las autoridades federales: la denominada “cláusula de comercio”</w:t>
      </w:r>
      <w:r>
        <w:t>.</w:t>
      </w:r>
    </w:p>
    <w:p w14:paraId="716B775B" w14:textId="77777777" w:rsidR="00FF335F" w:rsidRDefault="00FF335F" w:rsidP="00C72EB7">
      <w:pPr>
        <w:pStyle w:val="Textonormal"/>
      </w:pPr>
    </w:p>
    <w:p w14:paraId="37A898F4" w14:textId="72FC3E2B" w:rsidR="00BA0044" w:rsidRPr="00C51D67" w:rsidRDefault="00970DD3" w:rsidP="00BA0044">
      <w:pPr>
        <w:pStyle w:val="1NIVEL-PLANTILLAREVISTA"/>
      </w:pPr>
      <w:r w:rsidRPr="00C51D67">
        <w:t>2. INTRODUCCIÓN. CONSIDERACIONES DE CARÁCTER GENERAL SOBRE LA REGULACIÓN DEL JUEGO EN LOS ESTADOS UNIDOS</w:t>
      </w:r>
    </w:p>
    <w:p w14:paraId="601A9F5C" w14:textId="6855D4DC" w:rsidR="00970DD3" w:rsidRDefault="00621729" w:rsidP="00C72EB7">
      <w:pPr>
        <w:pStyle w:val="2NIVEL-PLANTILLAREVISTA"/>
      </w:pPr>
      <w:r w:rsidRPr="00C72EB7">
        <w:t xml:space="preserve">2.1 </w:t>
      </w:r>
      <w:r w:rsidR="00970DD3" w:rsidRPr="00C72EB7">
        <w:t xml:space="preserve">Consideraciones de carácter general sobre la regulación del </w:t>
      </w:r>
      <w:proofErr w:type="spellStart"/>
      <w:r w:rsidR="00970DD3" w:rsidRPr="00C72EB7">
        <w:t>juego</w:t>
      </w:r>
      <w:proofErr w:type="spellEnd"/>
      <w:r w:rsidR="00970DD3" w:rsidRPr="00C72EB7">
        <w:t xml:space="preserve"> </w:t>
      </w:r>
      <w:proofErr w:type="spellStart"/>
      <w:r w:rsidR="00970DD3" w:rsidRPr="00C72EB7">
        <w:t>en</w:t>
      </w:r>
      <w:proofErr w:type="spellEnd"/>
      <w:r w:rsidR="00970DD3" w:rsidRPr="00C72EB7">
        <w:t xml:space="preserve"> los </w:t>
      </w:r>
      <w:proofErr w:type="spellStart"/>
      <w:r w:rsidR="00BA0044">
        <w:t>E</w:t>
      </w:r>
      <w:r w:rsidR="00970DD3" w:rsidRPr="00C72EB7">
        <w:t>stados</w:t>
      </w:r>
      <w:proofErr w:type="spellEnd"/>
      <w:r w:rsidR="00970DD3" w:rsidRPr="00C72EB7">
        <w:t xml:space="preserve"> </w:t>
      </w:r>
      <w:r w:rsidR="00BA0044">
        <w:t>U</w:t>
      </w:r>
      <w:r w:rsidR="00970DD3" w:rsidRPr="00C72EB7">
        <w:t>nidos</w:t>
      </w:r>
      <w:r w:rsidR="00970DD3" w:rsidRPr="00C51D67">
        <w:t>.</w:t>
      </w:r>
    </w:p>
    <w:p w14:paraId="78608308" w14:textId="77777777" w:rsidR="00970DD3" w:rsidRPr="00C51D67" w:rsidRDefault="00970DD3" w:rsidP="00C72EB7">
      <w:proofErr w:type="spellStart"/>
      <w:r w:rsidRPr="00C51D67">
        <w:t>Resultando</w:t>
      </w:r>
      <w:proofErr w:type="spellEnd"/>
      <w:r w:rsidRPr="00C51D67">
        <w:t xml:space="preserve"> bien </w:t>
      </w:r>
      <w:proofErr w:type="spellStart"/>
      <w:r w:rsidRPr="00C51D67">
        <w:t>conocido</w:t>
      </w:r>
      <w:proofErr w:type="spellEnd"/>
      <w:r w:rsidRPr="00C51D67">
        <w:t xml:space="preserve"> que Estados Unidos es una república federal que agrupa a cincuenta Estados, no es preciso extenderse en que las relaciones de estos con el Gobierno federal en lo que a la distribución de competencias se refiere queda regulado de un modo escueto y ciertamente poco preciso en su longeva Constitución de 1787, cuya Décima Enmienda establece que “los poderes que la Constitución no delega a los Estados Unidos ni prohíbe a los Estados, queda reservados a los Estados respectivamente o al pueblo”. </w:t>
      </w:r>
    </w:p>
    <w:p w14:paraId="125BE48E" w14:textId="77777777" w:rsidR="00970DD3" w:rsidRDefault="00970DD3" w:rsidP="00C72EB7">
      <w:pPr>
        <w:pStyle w:val="Textonormal"/>
      </w:pPr>
    </w:p>
    <w:p w14:paraId="3EB2295E" w14:textId="74DA3A51" w:rsidR="00BA0044" w:rsidRDefault="00970DD3" w:rsidP="00BA0044">
      <w:pPr>
        <w:pStyle w:val="1NIVEL-PLANTILLAREVISTA"/>
      </w:pPr>
      <w:r>
        <w:t>3</w:t>
      </w:r>
      <w:r w:rsidRPr="001F42E2">
        <w:t>. INTRODUCCIÓN. CONSIDERACIONES DE CARÁCTER GENERAL SOBRE LA REGULACIÓN DEL JUEGO EN LOS ESTADOS UNIDOS</w:t>
      </w:r>
    </w:p>
    <w:p w14:paraId="307B6765" w14:textId="73ADD441" w:rsidR="00FF335F" w:rsidRPr="00FF335F" w:rsidRDefault="00621729" w:rsidP="00BA0044">
      <w:pPr>
        <w:pStyle w:val="2NIVEL-PLANTILLAREVISTA"/>
      </w:pPr>
      <w:r>
        <w:t xml:space="preserve">3.1 </w:t>
      </w:r>
      <w:r w:rsidR="00970DD3">
        <w:t>Consideraciones de carácter general sobre la regulación del juego en los estados unidos.</w:t>
      </w:r>
    </w:p>
    <w:p w14:paraId="14D5863A" w14:textId="64DFCD2B" w:rsidR="00FF335F" w:rsidRPr="00C72EB7" w:rsidRDefault="00621729" w:rsidP="00C72EB7">
      <w:pPr>
        <w:pStyle w:val="3NIVEL-PLANTILLAREVISTA"/>
      </w:pPr>
      <w:r w:rsidRPr="00C72EB7">
        <w:t xml:space="preserve">3.1.1 </w:t>
      </w:r>
      <w:r w:rsidR="00FF335F" w:rsidRPr="00C72EB7">
        <w:t>Consideraciones de carácter general sobre la regulación del juego en los estados unidos.</w:t>
      </w:r>
    </w:p>
    <w:p w14:paraId="1555B5B6" w14:textId="77777777" w:rsidR="00A10111" w:rsidRDefault="00A10111" w:rsidP="00BA0044">
      <w:r w:rsidRPr="001F42E2">
        <w:t xml:space="preserve">En cuanto a las facultades del Gobierno federal, estas se señalan en la misma Constitución, debiendo destacarse la que es considerada la mayor arma en manos de las autoridades federales: la denominada “cláusula de comercio”, ya que con arreglo a la Sección Octava del Artículo 1 de la Constitución, el Congreso de los Estados Unidos está facultado “para reglamentar el comercio con las naciones extranjeras, entre los diferentes Estados y con las tribus indias” (párrafo 3). </w:t>
      </w:r>
    </w:p>
    <w:p w14:paraId="31A5F337" w14:textId="77777777" w:rsidR="00FF335F" w:rsidRDefault="00FF335F" w:rsidP="00BA0044"/>
    <w:p w14:paraId="2072D9F9" w14:textId="77777777" w:rsidR="00C51D67" w:rsidRDefault="00C51D67" w:rsidP="00C72EB7">
      <w:pPr>
        <w:pStyle w:val="Textonormal"/>
      </w:pPr>
    </w:p>
    <w:p w14:paraId="1770B4FF" w14:textId="77777777" w:rsidR="00C51D67" w:rsidRDefault="00C51D67" w:rsidP="00C72EB7">
      <w:pPr>
        <w:pStyle w:val="Textonormal"/>
      </w:pPr>
    </w:p>
    <w:p w14:paraId="5E16C5F7" w14:textId="77777777" w:rsidR="00C51D67" w:rsidRDefault="00C51D67" w:rsidP="00C72EB7">
      <w:pPr>
        <w:pStyle w:val="Textonormal"/>
      </w:pPr>
    </w:p>
    <w:p w14:paraId="0D51495C" w14:textId="77777777" w:rsidR="00C51D67" w:rsidRDefault="00C51D67" w:rsidP="00C72EB7">
      <w:pPr>
        <w:pStyle w:val="Textonormal"/>
      </w:pPr>
    </w:p>
    <w:p w14:paraId="43A6444A" w14:textId="77777777" w:rsidR="00A04C0A" w:rsidRDefault="00A04C0A" w:rsidP="006B155A">
      <w:pPr>
        <w:pStyle w:val="1NIVEL-PLANTILLAREVISTA"/>
      </w:pPr>
    </w:p>
    <w:p w14:paraId="19909D84" w14:textId="77777777" w:rsidR="00A04C0A" w:rsidRDefault="00A04C0A" w:rsidP="006B155A">
      <w:pPr>
        <w:pStyle w:val="1NIVEL-PLANTILLAREVISTA"/>
      </w:pPr>
    </w:p>
    <w:p w14:paraId="2A4E7F89" w14:textId="5C96A04D" w:rsidR="00970DD3" w:rsidRPr="00970DD3" w:rsidRDefault="00970DD3" w:rsidP="006B155A">
      <w:pPr>
        <w:pStyle w:val="1NIVEL-PLANTILLAREVISTA"/>
      </w:pPr>
      <w:r>
        <w:t>4</w:t>
      </w:r>
      <w:r w:rsidRPr="001F42E2">
        <w:t>. INTRODUCCIÓN. CONSIDERACIONES DE CARÁCTER GENERAL SOBRE LA REGULACIÓN DEL JUEGO EN LOS ESTADOS UNIDOS</w:t>
      </w:r>
    </w:p>
    <w:p w14:paraId="27C657D7" w14:textId="0BE81ED9" w:rsidR="00FF335F" w:rsidRPr="00FF335F" w:rsidRDefault="00621729" w:rsidP="006B155A">
      <w:pPr>
        <w:pStyle w:val="2NIVEL-PLANTILLAREVISTA"/>
      </w:pPr>
      <w:r>
        <w:t xml:space="preserve">4.1 </w:t>
      </w:r>
      <w:r w:rsidR="00FF335F">
        <w:t>Consideraciones de carácter general sobre la regulación del juego en los estados unidos.</w:t>
      </w:r>
    </w:p>
    <w:p w14:paraId="7F2499E9" w14:textId="410EB0AC" w:rsidR="00FF335F" w:rsidRPr="00FF335F" w:rsidRDefault="00621729" w:rsidP="006B155A">
      <w:pPr>
        <w:pStyle w:val="3NIVEL-PLANTILLAREVISTA"/>
      </w:pPr>
      <w:r>
        <w:t xml:space="preserve">4.1.1 </w:t>
      </w:r>
      <w:r w:rsidR="00FF335F" w:rsidRPr="00FF335F">
        <w:t>Consideraciones de carácter general sobre la regulación del juego en los estados unidos</w:t>
      </w:r>
      <w:r w:rsidR="00FF335F">
        <w:t>.</w:t>
      </w:r>
    </w:p>
    <w:p w14:paraId="3B7FB3CC" w14:textId="083460F9" w:rsidR="00970DD3" w:rsidRPr="006B155A" w:rsidRDefault="00970DD3" w:rsidP="00C72EB7">
      <w:pPr>
        <w:pStyle w:val="Textonormal"/>
        <w:numPr>
          <w:ilvl w:val="0"/>
          <w:numId w:val="1"/>
        </w:numPr>
        <w:rPr>
          <w:rFonts w:ascii="Garamond" w:hAnsi="Garamond"/>
          <w:sz w:val="24"/>
          <w:szCs w:val="24"/>
        </w:rPr>
      </w:pPr>
      <w:r w:rsidRPr="006B155A">
        <w:rPr>
          <w:rFonts w:ascii="Garamond" w:hAnsi="Garamond"/>
          <w:sz w:val="24"/>
          <w:szCs w:val="24"/>
        </w:rPr>
        <w:t>Las legislaturas de los Estados vía la cláusula de reserva de la Constitución de los Estados Unidos”</w:t>
      </w:r>
      <w:r w:rsidRPr="006B155A">
        <w:rPr>
          <w:rStyle w:val="Refdenotaalpie"/>
          <w:rFonts w:ascii="Garamond" w:hAnsi="Garamond"/>
          <w:sz w:val="24"/>
          <w:szCs w:val="24"/>
        </w:rPr>
        <w:footnoteReference w:id="1"/>
      </w:r>
      <w:r w:rsidRPr="006B155A">
        <w:rPr>
          <w:rFonts w:ascii="Garamond" w:hAnsi="Garamond"/>
          <w:sz w:val="24"/>
          <w:szCs w:val="24"/>
        </w:rPr>
        <w:t>, en su Décima Enmienda.</w:t>
      </w:r>
    </w:p>
    <w:p w14:paraId="06882CCA" w14:textId="77777777" w:rsidR="00FC60A6" w:rsidRPr="006B155A" w:rsidRDefault="00FC60A6" w:rsidP="00C72EB7">
      <w:pPr>
        <w:pStyle w:val="Textonormal"/>
        <w:numPr>
          <w:ilvl w:val="0"/>
          <w:numId w:val="1"/>
        </w:numPr>
        <w:rPr>
          <w:rFonts w:ascii="Garamond" w:hAnsi="Garamond"/>
          <w:sz w:val="24"/>
          <w:szCs w:val="24"/>
        </w:rPr>
      </w:pPr>
      <w:r w:rsidRPr="006B155A">
        <w:rPr>
          <w:rFonts w:ascii="Garamond" w:hAnsi="Garamond"/>
          <w:sz w:val="24"/>
          <w:szCs w:val="24"/>
        </w:rPr>
        <w:t>Las legislaturas de los Estados vía la cláusula de reserva de la Constitución de los Estados Unidos”</w:t>
      </w:r>
      <w:r w:rsidRPr="006B155A">
        <w:rPr>
          <w:rStyle w:val="Refdenotaalpie"/>
          <w:rFonts w:ascii="Garamond" w:hAnsi="Garamond"/>
          <w:sz w:val="24"/>
          <w:szCs w:val="24"/>
        </w:rPr>
        <w:footnoteReference w:id="2"/>
      </w:r>
      <w:r w:rsidRPr="006B155A">
        <w:rPr>
          <w:rFonts w:ascii="Garamond" w:hAnsi="Garamond"/>
          <w:sz w:val="24"/>
          <w:szCs w:val="24"/>
        </w:rPr>
        <w:t>, en su Décima Enmienda.</w:t>
      </w:r>
    </w:p>
    <w:p w14:paraId="64224394" w14:textId="77777777" w:rsidR="00970DD3" w:rsidRDefault="00970DD3" w:rsidP="00C72EB7">
      <w:pPr>
        <w:pStyle w:val="1nivel"/>
      </w:pPr>
    </w:p>
    <w:p w14:paraId="43A1AAA9" w14:textId="69C909F0" w:rsidR="00621729" w:rsidRDefault="006B155A" w:rsidP="006B155A">
      <w:pPr>
        <w:pStyle w:val="1NIVEL-PLANTILLAREVISTA"/>
      </w:pPr>
      <w:r>
        <w:t>5</w:t>
      </w:r>
      <w:r w:rsidR="004B0415" w:rsidRPr="001F42E2">
        <w:t xml:space="preserve">. </w:t>
      </w:r>
      <w:r>
        <w:t>REFERENCIAS</w:t>
      </w:r>
    </w:p>
    <w:p w14:paraId="5DC6EF0C" w14:textId="476332D3" w:rsidR="00E64C39" w:rsidRPr="006B155A" w:rsidRDefault="00E64C39" w:rsidP="006B155A">
      <w:pPr>
        <w:pStyle w:val="Prrafodelista"/>
      </w:pPr>
      <w:r w:rsidRPr="006B155A">
        <w:t>Barnett, L</w:t>
      </w:r>
      <w:r w:rsidR="00621729" w:rsidRPr="006B155A">
        <w:t xml:space="preserve">uisa </w:t>
      </w:r>
      <w:r w:rsidRPr="006B155A">
        <w:t xml:space="preserve">A. (2011). How do playful people play? Gendered and racial leisure perspectives, motives and preferences of college students. Leisure Sciences, </w:t>
      </w:r>
      <w:proofErr w:type="gramStart"/>
      <w:r w:rsidRPr="006B155A">
        <w:t>I(</w:t>
      </w:r>
      <w:proofErr w:type="gramEnd"/>
      <w:r w:rsidRPr="006B155A">
        <w:t>33), 382–401.</w:t>
      </w:r>
      <w:r w:rsidR="00621729" w:rsidRPr="006B155A">
        <w:t xml:space="preserve"> </w:t>
      </w:r>
      <w:r w:rsidRPr="006B155A">
        <w:t>doi:10.1080/01490400.2011.60677</w:t>
      </w:r>
    </w:p>
    <w:p w14:paraId="33CD8497" w14:textId="608F2409" w:rsidR="00E64C39" w:rsidRDefault="00E64C39" w:rsidP="006B155A">
      <w:pPr>
        <w:pStyle w:val="Prrafodelista"/>
      </w:pPr>
      <w:r w:rsidRPr="006B155A">
        <w:t>Kabat-Zinn, J</w:t>
      </w:r>
      <w:r w:rsidR="00621729" w:rsidRPr="006B155A">
        <w:t xml:space="preserve">uan y </w:t>
      </w:r>
      <w:proofErr w:type="spellStart"/>
      <w:r w:rsidR="00621729" w:rsidRPr="006B155A">
        <w:t>Kiba</w:t>
      </w:r>
      <w:proofErr w:type="spellEnd"/>
      <w:r w:rsidR="00621729" w:rsidRPr="006B155A">
        <w:t xml:space="preserve">, </w:t>
      </w:r>
      <w:proofErr w:type="spellStart"/>
      <w:r w:rsidR="00621729" w:rsidRPr="006B155A">
        <w:t>Ángela</w:t>
      </w:r>
      <w:proofErr w:type="spellEnd"/>
      <w:r w:rsidRPr="006B155A">
        <w:t xml:space="preserve"> (1994). Wherever you go, together you are: M</w:t>
      </w:r>
      <w:r w:rsidR="00621729" w:rsidRPr="006B155A">
        <w:t>i</w:t>
      </w:r>
      <w:r w:rsidRPr="006B155A">
        <w:t>ndfulness meditation in every life. Delacorte. </w:t>
      </w:r>
    </w:p>
    <w:p w14:paraId="6E666407" w14:textId="77777777" w:rsidR="006B155A" w:rsidRPr="006B155A" w:rsidRDefault="006B155A" w:rsidP="006B155A">
      <w:pPr>
        <w:pStyle w:val="Prrafodelista"/>
      </w:pPr>
    </w:p>
    <w:p w14:paraId="4FEAABFF" w14:textId="77777777" w:rsidR="004B0415" w:rsidRPr="006B155A" w:rsidRDefault="004B0415" w:rsidP="006B155A">
      <w:pPr>
        <w:pStyle w:val="Prrafodelista"/>
      </w:pPr>
    </w:p>
    <w:p w14:paraId="0DE4F203" w14:textId="77777777" w:rsidR="00C51D67" w:rsidRPr="00B123B1" w:rsidRDefault="00C51D67" w:rsidP="006B155A">
      <w:pPr>
        <w:pStyle w:val="Prrafodelista"/>
      </w:pPr>
    </w:p>
    <w:sectPr w:rsidR="00C51D67" w:rsidRPr="00B123B1" w:rsidSect="00A04C0A">
      <w:headerReference w:type="default" r:id="rId7"/>
      <w:footerReference w:type="even" r:id="rId8"/>
      <w:footerReference w:type="default" r:id="rId9"/>
      <w:pgSz w:w="11906" w:h="16838"/>
      <w:pgMar w:top="1418" w:right="1361" w:bottom="1135" w:left="1134" w:header="709" w:footer="506"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1A365C" w14:textId="77777777" w:rsidR="002961EE" w:rsidRDefault="002961EE" w:rsidP="00C72EB7">
      <w:r>
        <w:separator/>
      </w:r>
    </w:p>
  </w:endnote>
  <w:endnote w:type="continuationSeparator" w:id="0">
    <w:p w14:paraId="3673761D" w14:textId="77777777" w:rsidR="002961EE" w:rsidRDefault="002961EE" w:rsidP="00C72E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Aptos Display">
    <w:altName w:val="Calibri"/>
    <w:charset w:val="00"/>
    <w:family w:val="swiss"/>
    <w:pitch w:val="variable"/>
    <w:sig w:usb0="20000287" w:usb1="00000003" w:usb2="00000000" w:usb3="00000000" w:csb0="0000019F" w:csb1="00000000"/>
  </w:font>
  <w:font w:name="Abadi">
    <w:charset w:val="00"/>
    <w:family w:val="swiss"/>
    <w:pitch w:val="variable"/>
    <w:sig w:usb0="8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075478373"/>
      <w:docPartObj>
        <w:docPartGallery w:val="Page Numbers (Bottom of Page)"/>
        <w:docPartUnique/>
      </w:docPartObj>
    </w:sdtPr>
    <w:sdtEndPr>
      <w:rPr>
        <w:rStyle w:val="Nmerodepgina"/>
      </w:rPr>
    </w:sdtEndPr>
    <w:sdtContent>
      <w:p w14:paraId="28A81653" w14:textId="1F872E71" w:rsidR="00B47413" w:rsidRDefault="00B47413" w:rsidP="00C72EB7">
        <w:pPr>
          <w:pStyle w:val="Piedepgina"/>
          <w:rPr>
            <w:rStyle w:val="Nmerodepgina"/>
          </w:rPr>
        </w:pPr>
        <w:r>
          <w:rPr>
            <w:rStyle w:val="Nmerodepgina"/>
          </w:rPr>
          <w:fldChar w:fldCharType="begin"/>
        </w:r>
        <w:r>
          <w:rPr>
            <w:rStyle w:val="Nmerodepgina"/>
          </w:rPr>
          <w:instrText xml:space="preserve"> PAGE </w:instrText>
        </w:r>
        <w:r w:rsidR="002961EE">
          <w:rPr>
            <w:rStyle w:val="Nmerodepgina"/>
          </w:rPr>
          <w:fldChar w:fldCharType="separate"/>
        </w:r>
        <w:r>
          <w:rPr>
            <w:rStyle w:val="Nmerodepgina"/>
          </w:rPr>
          <w:fldChar w:fldCharType="end"/>
        </w:r>
      </w:p>
    </w:sdtContent>
  </w:sdt>
  <w:p w14:paraId="488AB280" w14:textId="77777777" w:rsidR="00B47413" w:rsidRDefault="00B47413" w:rsidP="00C72EB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7955003"/>
      <w:docPartObj>
        <w:docPartGallery w:val="Page Numbers (Bottom of Page)"/>
        <w:docPartUnique/>
      </w:docPartObj>
    </w:sdtPr>
    <w:sdtContent>
      <w:p w14:paraId="3D5CEF8D" w14:textId="5770E648" w:rsidR="00A04C0A" w:rsidRPr="005B24DD" w:rsidRDefault="00A04C0A" w:rsidP="005B24DD">
        <w:pPr>
          <w:pStyle w:val="Piedepgina"/>
          <w:ind w:right="-87"/>
          <w:jc w:val="center"/>
        </w:pPr>
        <w:r w:rsidRPr="00A04C0A">
          <w:rPr>
            <w:b/>
            <w:bCs/>
          </w:rPr>
          <w:fldChar w:fldCharType="begin"/>
        </w:r>
        <w:r w:rsidRPr="00A04C0A">
          <w:rPr>
            <w:b/>
            <w:bCs/>
          </w:rPr>
          <w:instrText>PAGE   \* MERGEFORMAT</w:instrText>
        </w:r>
        <w:r w:rsidRPr="00A04C0A">
          <w:rPr>
            <w:b/>
            <w:bCs/>
          </w:rPr>
          <w:fldChar w:fldCharType="separate"/>
        </w:r>
        <w:r w:rsidRPr="00A04C0A">
          <w:rPr>
            <w:b/>
            <w:bCs/>
            <w:lang w:val="es-ES"/>
          </w:rPr>
          <w:t>2</w:t>
        </w:r>
        <w:r w:rsidRPr="00A04C0A">
          <w:rPr>
            <w:b/>
            <w:bCs/>
          </w:rPr>
          <w:fldChar w:fldCharType="end"/>
        </w:r>
      </w:p>
      <w:p w14:paraId="3A9420FD" w14:textId="6F52E0F7" w:rsidR="005B24DD" w:rsidRPr="00A04C0A" w:rsidRDefault="005B24DD" w:rsidP="00A04C0A">
        <w:pPr>
          <w:pStyle w:val="Piedepgina"/>
          <w:jc w:val="center"/>
        </w:pPr>
      </w:p>
      <w:p w14:paraId="485D2EEB" w14:textId="67A28961" w:rsidR="00B47413" w:rsidRPr="00A04C0A" w:rsidRDefault="00A04C0A" w:rsidP="00A04C0A">
        <w:pPr>
          <w:pStyle w:val="Piedepgina"/>
          <w:tabs>
            <w:tab w:val="clear" w:pos="8504"/>
          </w:tabs>
          <w:ind w:right="-512"/>
          <w:jc w:val="left"/>
        </w:pPr>
        <w:proofErr w:type="spellStart"/>
        <w:r w:rsidRPr="00A04C0A">
          <w:rPr>
            <w:i/>
            <w:iCs/>
            <w:sz w:val="22"/>
            <w:szCs w:val="22"/>
            <w:lang w:eastAsia="es-ES"/>
          </w:rPr>
          <w:t>PsicoMúsica</w:t>
        </w:r>
        <w:proofErr w:type="spellEnd"/>
        <w:r w:rsidRPr="00A04C0A">
          <w:rPr>
            <w:i/>
            <w:iCs/>
            <w:sz w:val="22"/>
            <w:szCs w:val="22"/>
            <w:lang w:eastAsia="es-ES"/>
          </w:rPr>
          <w:t>,</w:t>
        </w:r>
        <w:r w:rsidRPr="00A04C0A">
          <w:rPr>
            <w:i/>
            <w:iCs/>
            <w:sz w:val="22"/>
            <w:szCs w:val="22"/>
            <w:lang w:eastAsia="es-ES"/>
          </w:rPr>
          <w:t xml:space="preserve"> </w:t>
        </w:r>
        <w:proofErr w:type="gramStart"/>
        <w:r w:rsidRPr="00A04C0A">
          <w:rPr>
            <w:i/>
            <w:iCs/>
            <w:sz w:val="22"/>
            <w:szCs w:val="22"/>
            <w:lang w:eastAsia="es-ES"/>
          </w:rPr>
          <w:t>I</w:t>
        </w:r>
        <w:r>
          <w:rPr>
            <w:sz w:val="22"/>
            <w:szCs w:val="22"/>
            <w:lang w:eastAsia="es-ES"/>
          </w:rPr>
          <w:t>(</w:t>
        </w:r>
        <w:proofErr w:type="gramEnd"/>
        <w:r>
          <w:rPr>
            <w:sz w:val="22"/>
            <w:szCs w:val="22"/>
            <w:lang w:eastAsia="es-ES"/>
          </w:rPr>
          <w:t>1)</w:t>
        </w:r>
        <w:r w:rsidRPr="006B155A">
          <w:rPr>
            <w:sz w:val="22"/>
            <w:szCs w:val="22"/>
            <w:lang w:eastAsia="es-ES"/>
          </w:rPr>
          <w:t xml:space="preserve">, </w:t>
        </w:r>
        <w:proofErr w:type="spellStart"/>
        <w:r>
          <w:rPr>
            <w:sz w:val="22"/>
            <w:szCs w:val="22"/>
            <w:lang w:eastAsia="es-ES"/>
          </w:rPr>
          <w:t>octubre</w:t>
        </w:r>
        <w:proofErr w:type="spellEnd"/>
        <w:r>
          <w:rPr>
            <w:sz w:val="22"/>
            <w:szCs w:val="22"/>
            <w:lang w:eastAsia="es-ES"/>
          </w:rPr>
          <w:t xml:space="preserve"> </w:t>
        </w:r>
        <w:r w:rsidRPr="006B155A">
          <w:rPr>
            <w:sz w:val="22"/>
            <w:szCs w:val="22"/>
            <w:lang w:eastAsia="es-ES"/>
          </w:rPr>
          <w:t xml:space="preserve">2025                                           </w:t>
        </w:r>
        <w:r>
          <w:rPr>
            <w:sz w:val="22"/>
            <w:szCs w:val="22"/>
            <w:lang w:eastAsia="es-ES"/>
          </w:rPr>
          <w:t xml:space="preserve">   </w:t>
        </w:r>
        <w:r w:rsidR="005B24DD">
          <w:rPr>
            <w:sz w:val="22"/>
            <w:szCs w:val="22"/>
            <w:lang w:eastAsia="es-ES"/>
          </w:rPr>
          <w:t xml:space="preserve">            </w:t>
        </w:r>
        <w:r w:rsidRPr="006B155A">
          <w:rPr>
            <w:sz w:val="22"/>
            <w:szCs w:val="22"/>
            <w:lang w:eastAsia="es-ES"/>
          </w:rPr>
          <w:t xml:space="preserve"> </w:t>
        </w:r>
        <w:r>
          <w:rPr>
            <w:i/>
            <w:iCs/>
            <w:sz w:val="22"/>
            <w:szCs w:val="22"/>
            <w:lang w:eastAsia="es-ES"/>
          </w:rPr>
          <w:t xml:space="preserve">La </w:t>
        </w:r>
        <w:proofErr w:type="spellStart"/>
        <w:r>
          <w:rPr>
            <w:i/>
            <w:iCs/>
            <w:sz w:val="22"/>
            <w:szCs w:val="22"/>
            <w:lang w:eastAsia="es-ES"/>
          </w:rPr>
          <w:t>legalización</w:t>
        </w:r>
        <w:proofErr w:type="spellEnd"/>
        <w:r>
          <w:rPr>
            <w:i/>
            <w:iCs/>
            <w:sz w:val="22"/>
            <w:szCs w:val="22"/>
            <w:lang w:eastAsia="es-ES"/>
          </w:rPr>
          <w:t xml:space="preserve"> de las </w:t>
        </w:r>
        <w:proofErr w:type="spellStart"/>
        <w:r>
          <w:rPr>
            <w:i/>
            <w:iCs/>
            <w:sz w:val="22"/>
            <w:szCs w:val="22"/>
            <w:lang w:eastAsia="es-ES"/>
          </w:rPr>
          <w:t>apuestas</w:t>
        </w:r>
        <w:proofErr w:type="spellEnd"/>
        <w:r>
          <w:rPr>
            <w:i/>
            <w:iCs/>
            <w:sz w:val="22"/>
            <w:szCs w:val="22"/>
            <w:lang w:eastAsia="es-ES"/>
          </w:rPr>
          <w:t xml:space="preserve"> </w:t>
        </w:r>
        <w:proofErr w:type="spellStart"/>
        <w:r>
          <w:rPr>
            <w:i/>
            <w:iCs/>
            <w:sz w:val="22"/>
            <w:szCs w:val="22"/>
            <w:lang w:eastAsia="es-ES"/>
          </w:rPr>
          <w:t>deportivas</w:t>
        </w:r>
        <w:proofErr w:type="spellEnd"/>
        <w:r w:rsidRPr="006B155A">
          <w:rPr>
            <w:sz w:val="22"/>
            <w:szCs w:val="22"/>
            <w:lang w:eastAsia="es-ES"/>
          </w:rPr>
          <w:t xml:space="preserve"> </w:t>
        </w:r>
        <w:proofErr w:type="spellStart"/>
        <w:r w:rsidRPr="006B155A">
          <w:rPr>
            <w:i/>
            <w:iCs/>
            <w:sz w:val="22"/>
            <w:szCs w:val="22"/>
            <w:lang w:eastAsia="es-ES"/>
          </w:rPr>
          <w:t>e</w:t>
        </w:r>
        <w:r>
          <w:rPr>
            <w:i/>
            <w:iCs/>
            <w:sz w:val="22"/>
            <w:szCs w:val="22"/>
            <w:lang w:eastAsia="es-ES"/>
          </w:rPr>
          <w:t>n</w:t>
        </w:r>
        <w:proofErr w:type="spellEnd"/>
        <w:r>
          <w:rPr>
            <w:i/>
            <w:iCs/>
            <w:sz w:val="22"/>
            <w:szCs w:val="22"/>
            <w:lang w:eastAsia="es-ES"/>
          </w:rPr>
          <w:t xml:space="preserve"> </w:t>
        </w:r>
        <w:r w:rsidRPr="006B155A">
          <w:rPr>
            <w:i/>
            <w:iCs/>
            <w:sz w:val="22"/>
            <w:szCs w:val="22"/>
            <w:lang w:eastAsia="es-ES"/>
          </w:rPr>
          <w:t xml:space="preserve">EEUU </w:t>
        </w:r>
        <w:r w:rsidRPr="006B155A">
          <w:rPr>
            <w:sz w:val="22"/>
            <w:szCs w:val="22"/>
            <w:lang w:eastAsia="es-ES"/>
          </w:rPr>
          <w:t xml:space="preserve">                                                  </w:t>
        </w:r>
        <w:proofErr w:type="spellStart"/>
        <w:r>
          <w:rPr>
            <w:sz w:val="22"/>
            <w:szCs w:val="22"/>
            <w:lang w:eastAsia="es-ES"/>
          </w:rPr>
          <w:t>Terol</w:t>
        </w:r>
        <w:proofErr w:type="spellEnd"/>
        <w:r>
          <w:rPr>
            <w:sz w:val="22"/>
            <w:szCs w:val="22"/>
            <w:lang w:eastAsia="es-ES"/>
          </w:rPr>
          <w:t xml:space="preserve"> Gómez, Ramón</w:t>
        </w:r>
        <w:r>
          <w:rPr>
            <w:sz w:val="22"/>
            <w:szCs w:val="22"/>
            <w:lang w:eastAsia="es-ES"/>
          </w:rPr>
          <w:t xml:space="preserve">                                                                                                   </w:t>
        </w:r>
        <w:r w:rsidRPr="006B155A">
          <w:rPr>
            <w:sz w:val="22"/>
            <w:szCs w:val="22"/>
            <w:lang w:eastAsia="es-ES"/>
          </w:rPr>
          <w:t xml:space="preserve"> </w:t>
        </w:r>
        <w:r w:rsidR="005B24DD">
          <w:rPr>
            <w:sz w:val="22"/>
            <w:szCs w:val="22"/>
            <w:lang w:eastAsia="es-ES"/>
          </w:rPr>
          <w:t xml:space="preserve">           </w:t>
        </w:r>
        <w:proofErr w:type="spellStart"/>
        <w:r w:rsidRPr="006B155A">
          <w:rPr>
            <w:sz w:val="22"/>
            <w:szCs w:val="22"/>
            <w:lang w:eastAsia="es-ES"/>
          </w:rPr>
          <w:t>doi</w:t>
        </w:r>
        <w:proofErr w:type="spellEnd"/>
        <w:r w:rsidRPr="006B155A">
          <w:rPr>
            <w:sz w:val="22"/>
            <w:szCs w:val="22"/>
            <w:lang w:eastAsia="es-ES"/>
          </w:rPr>
          <w:t xml:space="preserve">: </w:t>
        </w:r>
        <w:r>
          <w:rPr>
            <w:sz w:val="22"/>
            <w:szCs w:val="22"/>
            <w:lang w:eastAsia="es-ES"/>
          </w:rPr>
          <w:t>2310</w:t>
        </w:r>
        <w:r w:rsidRPr="006B155A">
          <w:rPr>
            <w:sz w:val="22"/>
            <w:szCs w:val="22"/>
            <w:lang w:eastAsia="es-ES"/>
          </w:rPr>
          <w:t>2340-4647</w:t>
        </w:r>
        <w:r w:rsidRPr="006B155A">
          <w:rPr>
            <w:color w:val="7F7F7F" w:themeColor="text1" w:themeTint="80"/>
            <w:sz w:val="22"/>
            <w:szCs w:val="22"/>
            <w:lang w:eastAsia="es-ES"/>
          </w:rPr>
          <w:t xml:space="preserve">   </w:t>
        </w:r>
        <w:r w:rsidRPr="006B155A">
          <w:rPr>
            <w:rFonts w:ascii="Century" w:hAnsi="Century"/>
            <w:color w:val="365F91"/>
            <w:sz w:val="22"/>
            <w:szCs w:val="22"/>
            <w:lang w:eastAsia="es-ES"/>
          </w:rP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0FC4A9" w14:textId="77777777" w:rsidR="002961EE" w:rsidRDefault="002961EE" w:rsidP="00C72EB7">
      <w:r>
        <w:separator/>
      </w:r>
    </w:p>
  </w:footnote>
  <w:footnote w:type="continuationSeparator" w:id="0">
    <w:p w14:paraId="066CD25D" w14:textId="77777777" w:rsidR="002961EE" w:rsidRDefault="002961EE" w:rsidP="00C72EB7">
      <w:r>
        <w:continuationSeparator/>
      </w:r>
    </w:p>
  </w:footnote>
  <w:footnote w:id="1">
    <w:p w14:paraId="19630B40" w14:textId="77777777" w:rsidR="00970DD3" w:rsidRPr="001F42E2" w:rsidRDefault="00970DD3" w:rsidP="00C72EB7">
      <w:pPr>
        <w:pStyle w:val="Notaapie"/>
      </w:pPr>
      <w:r w:rsidRPr="001F42E2">
        <w:rPr>
          <w:rStyle w:val="Refdenotaalpie"/>
          <w:rFonts w:ascii="Garamond" w:eastAsiaTheme="majorEastAsia" w:hAnsi="Garamond"/>
          <w:color w:val="595959" w:themeColor="text1" w:themeTint="A6"/>
          <w:sz w:val="20"/>
          <w:szCs w:val="20"/>
        </w:rPr>
        <w:footnoteRef/>
      </w:r>
      <w:r w:rsidRPr="001F42E2">
        <w:t xml:space="preserve"> B. THOMPSON, “Internet Gambling”, North Carolina Journal of Law &amp; Technology, vol. II, nº 1 (2001), p. 90.</w:t>
      </w:r>
    </w:p>
  </w:footnote>
  <w:footnote w:id="2">
    <w:p w14:paraId="312AED84" w14:textId="77777777" w:rsidR="00FC60A6" w:rsidRPr="001F42E2" w:rsidRDefault="00FC60A6" w:rsidP="00C72EB7">
      <w:pPr>
        <w:pStyle w:val="Notaapie"/>
      </w:pPr>
      <w:r w:rsidRPr="001F42E2">
        <w:rPr>
          <w:rStyle w:val="Refdenotaalpie"/>
          <w:rFonts w:ascii="Garamond" w:eastAsiaTheme="majorEastAsia" w:hAnsi="Garamond"/>
          <w:color w:val="595959" w:themeColor="text1" w:themeTint="A6"/>
          <w:sz w:val="20"/>
          <w:szCs w:val="20"/>
        </w:rPr>
        <w:footnoteRef/>
      </w:r>
      <w:r w:rsidRPr="001F42E2">
        <w:t xml:space="preserve"> B. THOMPSON, “Internet Gambling”, North Carolina Journal of Law &amp; Technology, vol. II, nº 1 (2001), p. 90.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2EE679" w14:textId="3FBA8FB8" w:rsidR="00C20AB1" w:rsidRDefault="001F42E2" w:rsidP="00C72EB7">
    <w:pPr>
      <w:pStyle w:val="Encabezado"/>
    </w:pPr>
    <w:r>
      <w:rPr>
        <w:noProof/>
      </w:rPr>
      <mc:AlternateContent>
        <mc:Choice Requires="wps">
          <w:drawing>
            <wp:anchor distT="0" distB="0" distL="114300" distR="114300" simplePos="0" relativeHeight="251662336" behindDoc="0" locked="0" layoutInCell="1" allowOverlap="1" wp14:anchorId="3067B0BC" wp14:editId="6CF1A5C6">
              <wp:simplePos x="0" y="0"/>
              <wp:positionH relativeFrom="column">
                <wp:posOffset>5538470</wp:posOffset>
              </wp:positionH>
              <wp:positionV relativeFrom="paragraph">
                <wp:posOffset>-432012</wp:posOffset>
              </wp:positionV>
              <wp:extent cx="1171787" cy="1171787"/>
              <wp:effectExtent l="0" t="0" r="0" b="0"/>
              <wp:wrapNone/>
              <wp:docPr id="494585683" name="Cuadro de texto 2"/>
              <wp:cNvGraphicFramePr/>
              <a:graphic xmlns:a="http://schemas.openxmlformats.org/drawingml/2006/main">
                <a:graphicData uri="http://schemas.microsoft.com/office/word/2010/wordprocessingShape">
                  <wps:wsp>
                    <wps:cNvSpPr txBox="1"/>
                    <wps:spPr>
                      <a:xfrm>
                        <a:off x="0" y="0"/>
                        <a:ext cx="1171787" cy="1171787"/>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522C4C7" w14:textId="60F6947B" w:rsidR="00C20AB1" w:rsidRPr="00C20AB1" w:rsidRDefault="001F42E2" w:rsidP="00C72EB7">
                          <w:pPr>
                            <w:rPr>
                              <w:color w:val="7F7F7F" w:themeColor="text1" w:themeTint="80"/>
                            </w:rPr>
                          </w:pPr>
                          <w:r>
                            <w:rPr>
                              <w:noProof/>
                            </w:rPr>
                            <w:drawing>
                              <wp:inline distT="0" distB="0" distL="0" distR="0" wp14:anchorId="322C7F15" wp14:editId="38DF7FB7">
                                <wp:extent cx="914400" cy="914400"/>
                                <wp:effectExtent l="0" t="0" r="0" b="0"/>
                                <wp:docPr id="4" name="Imagen 5" descr="Patrón de fon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19974" name="Imagen 5" descr="Patrón de fondo&#10;&#10;El contenido generado por IA puede ser incorrecto."/>
                                        <pic:cNvPicPr/>
                                      </pic:nvPicPr>
                                      <pic:blipFill>
                                        <a:blip r:embed="rId1"/>
                                        <a:stretch>
                                          <a:fillRect/>
                                        </a:stretch>
                                      </pic:blipFill>
                                      <pic:spPr>
                                        <a:xfrm>
                                          <a:off x="0" y="0"/>
                                          <a:ext cx="918144" cy="91814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67B0BC" id="_x0000_t202" coordsize="21600,21600" o:spt="202" path="m,l,21600r21600,l21600,xe">
              <v:stroke joinstyle="miter"/>
              <v:path gradientshapeok="t" o:connecttype="rect"/>
            </v:shapetype>
            <v:shape id="Cuadro de texto 2" o:spid="_x0000_s1026" type="#_x0000_t202" style="position:absolute;left:0;text-align:left;margin-left:436.1pt;margin-top:-34pt;width:92.25pt;height:9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" filled="f" stroked="f">
              <v:textbox>
                <w:txbxContent>
                  <w:p w14:paraId="4522C4C7" w14:textId="60F6947B" w:rsidR="00C20AB1" w:rsidRPr="00C20AB1" w:rsidRDefault="001F42E2" w:rsidP="00C72EB7">
                    <w:pPr>
                      <w:rPr>
                        <w:color w:val="7F7F7F" w:themeColor="text1" w:themeTint="80"/>
                      </w:rPr>
                    </w:pPr>
                    <w:r>
                      <w:rPr>
                        <w:noProof/>
                      </w:rPr>
                      <w:drawing>
                        <wp:inline distT="0" distB="0" distL="0" distR="0" wp14:anchorId="322C7F15" wp14:editId="38DF7FB7">
                          <wp:extent cx="914400" cy="914400"/>
                          <wp:effectExtent l="0" t="0" r="0" b="0"/>
                          <wp:docPr id="4" name="Imagen 5" descr="Patrón de fon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19974" name="Imagen 5" descr="Patrón de fondo&#10;&#10;El contenido generado por IA puede ser incorrecto."/>
                                  <pic:cNvPicPr/>
                                </pic:nvPicPr>
                                <pic:blipFill>
                                  <a:blip r:embed="rId1"/>
                                  <a:stretch>
                                    <a:fillRect/>
                                  </a:stretch>
                                </pic:blipFill>
                                <pic:spPr>
                                  <a:xfrm>
                                    <a:off x="0" y="0"/>
                                    <a:ext cx="918144" cy="918144"/>
                                  </a:xfrm>
                                  <a:prstGeom prst="rect">
                                    <a:avLst/>
                                  </a:prstGeom>
                                </pic:spPr>
                              </pic:pic>
                            </a:graphicData>
                          </a:graphic>
                        </wp:inline>
                      </w:drawing>
                    </w:r>
                  </w:p>
                </w:txbxContent>
              </v:textbox>
            </v:shape>
          </w:pict>
        </mc:Fallback>
      </mc:AlternateContent>
    </w:r>
    <w:r w:rsidR="00BC18DB">
      <w:rPr>
        <w:noProof/>
      </w:rPr>
      <mc:AlternateContent>
        <mc:Choice Requires="wps">
          <w:drawing>
            <wp:anchor distT="0" distB="0" distL="114300" distR="114300" simplePos="0" relativeHeight="251660288" behindDoc="0" locked="0" layoutInCell="1" allowOverlap="1" wp14:anchorId="42176FB6" wp14:editId="5F2893EA">
              <wp:simplePos x="0" y="0"/>
              <wp:positionH relativeFrom="column">
                <wp:posOffset>-314325</wp:posOffset>
              </wp:positionH>
              <wp:positionV relativeFrom="paragraph">
                <wp:posOffset>-323850</wp:posOffset>
              </wp:positionV>
              <wp:extent cx="1531620" cy="697230"/>
              <wp:effectExtent l="0" t="0" r="0" b="0"/>
              <wp:wrapNone/>
              <wp:docPr id="2029801971" name="Cuadro de texto 2"/>
              <wp:cNvGraphicFramePr/>
              <a:graphic xmlns:a="http://schemas.openxmlformats.org/drawingml/2006/main">
                <a:graphicData uri="http://schemas.microsoft.com/office/word/2010/wordprocessingShape">
                  <wps:wsp>
                    <wps:cNvSpPr txBox="1"/>
                    <wps:spPr>
                      <a:xfrm>
                        <a:off x="0" y="0"/>
                        <a:ext cx="1531620" cy="6972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0F70451" w14:textId="7ACF8ECE" w:rsidR="00C20AB1" w:rsidRPr="00C20AB1" w:rsidRDefault="00C20AB1" w:rsidP="00C72EB7">
                          <w:pPr>
                            <w:rPr>
                              <w:lang w:eastAsia="es-ES_tradnl"/>
                            </w:rPr>
                          </w:pPr>
                          <w:proofErr w:type="spellStart"/>
                          <w:r w:rsidRPr="00C20AB1">
                            <w:rPr>
                              <w:lang w:eastAsia="es-ES_tradnl"/>
                            </w:rPr>
                            <w:t>PsicoMúsica</w:t>
                          </w:r>
                          <w:proofErr w:type="spellEnd"/>
                          <w:r w:rsidRPr="00C20AB1">
                            <w:rPr>
                              <w:lang w:eastAsia="es-ES_tradnl"/>
                            </w:rPr>
                            <w:t xml:space="preserve">                                                                                                                      </w:t>
                          </w:r>
                        </w:p>
                        <w:p w14:paraId="3CF71CA5" w14:textId="505B6D2B" w:rsidR="00C20AB1" w:rsidRDefault="00C20AB1" w:rsidP="00C72EB7">
                          <w:r w:rsidRPr="00C20AB1">
                            <w:t>Revista Internacional</w:t>
                          </w:r>
                        </w:p>
                        <w:p w14:paraId="4EAEFACF" w14:textId="2CB42122" w:rsidR="00B47413" w:rsidRPr="00B47413" w:rsidRDefault="00B47413" w:rsidP="00C72EB7">
                          <w:r w:rsidRPr="00B47413">
                            <w:t>Nº1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176FB6" id="_x0000_s1027" type="#_x0000_t202" style="position:absolute;left:0;text-align:left;margin-left:-24.75pt;margin-top:-25.5pt;width:120.6pt;height:54.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" filled="f" stroked="f">
              <v:textbox>
                <w:txbxContent>
                  <w:p w14:paraId="70F70451" w14:textId="7ACF8ECE" w:rsidR="00C20AB1" w:rsidRPr="00C20AB1" w:rsidRDefault="00C20AB1" w:rsidP="00C72EB7">
                    <w:pPr>
                      <w:rPr>
                        <w:lang w:eastAsia="es-ES_tradnl"/>
                      </w:rPr>
                    </w:pPr>
                    <w:proofErr w:type="spellStart"/>
                    <w:r w:rsidRPr="00C20AB1">
                      <w:rPr>
                        <w:lang w:eastAsia="es-ES_tradnl"/>
                      </w:rPr>
                      <w:t>PsicoMúsica</w:t>
                    </w:r>
                    <w:proofErr w:type="spellEnd"/>
                    <w:r w:rsidRPr="00C20AB1">
                      <w:rPr>
                        <w:lang w:eastAsia="es-ES_tradnl"/>
                      </w:rPr>
                      <w:t xml:space="preserve">                                                                                                                      </w:t>
                    </w:r>
                  </w:p>
                  <w:p w14:paraId="3CF71CA5" w14:textId="505B6D2B" w:rsidR="00C20AB1" w:rsidRDefault="00C20AB1" w:rsidP="00C72EB7">
                    <w:r w:rsidRPr="00C20AB1">
                      <w:t>Revista Internacional</w:t>
                    </w:r>
                  </w:p>
                  <w:p w14:paraId="4EAEFACF" w14:textId="2CB42122" w:rsidR="00B47413" w:rsidRPr="00B47413" w:rsidRDefault="00B47413" w:rsidP="00C72EB7">
                    <w:r w:rsidRPr="00B47413">
                      <w:t>Nº1</w:t>
                    </w:r>
                  </w:p>
                </w:txbxContent>
              </v:textbox>
            </v:shape>
          </w:pict>
        </mc:Fallback>
      </mc:AlternateContent>
    </w:r>
    <w:r w:rsidR="00BC18DB">
      <w:rPr>
        <w:noProof/>
      </w:rPr>
      <mc:AlternateContent>
        <mc:Choice Requires="wps">
          <w:drawing>
            <wp:anchor distT="0" distB="0" distL="114300" distR="114300" simplePos="0" relativeHeight="251659264" behindDoc="0" locked="0" layoutInCell="1" allowOverlap="1" wp14:anchorId="176A2271" wp14:editId="040F7A8C">
              <wp:simplePos x="0" y="0"/>
              <wp:positionH relativeFrom="column">
                <wp:posOffset>-862965</wp:posOffset>
              </wp:positionH>
              <wp:positionV relativeFrom="paragraph">
                <wp:posOffset>-483870</wp:posOffset>
              </wp:positionV>
              <wp:extent cx="7738110" cy="925830"/>
              <wp:effectExtent l="0" t="0" r="0" b="1270"/>
              <wp:wrapNone/>
              <wp:docPr id="1502981464" name="Rectángulo 1"/>
              <wp:cNvGraphicFramePr/>
              <a:graphic xmlns:a="http://schemas.openxmlformats.org/drawingml/2006/main">
                <a:graphicData uri="http://schemas.microsoft.com/office/word/2010/wordprocessingShape">
                  <wps:wsp>
                    <wps:cNvSpPr/>
                    <wps:spPr>
                      <a:xfrm>
                        <a:off x="0" y="0"/>
                        <a:ext cx="7738110" cy="925830"/>
                      </a:xfrm>
                      <a:prstGeom prst="rect">
                        <a:avLst/>
                      </a:prstGeom>
                      <a:solidFill>
                        <a:schemeClr val="accent2">
                          <a:lumMod val="20000"/>
                          <a:lumOff val="8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rect w14:anchorId="49D39A3D" id="Rectángulo 1" o:spid="_x0000_s1026" style="position:absolute;margin-left:-67.95pt;margin-top:-38.1pt;width:609.3pt;height:72.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" fillcolor="#fae2d5 [661]"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EC2C2E"/>
    <w:multiLevelType w:val="hybridMultilevel"/>
    <w:tmpl w:val="2954E6C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62842A57"/>
    <w:multiLevelType w:val="hybridMultilevel"/>
    <w:tmpl w:val="ECB4753C"/>
    <w:lvl w:ilvl="0" w:tplc="F042B9A8">
      <w:start w:val="1"/>
      <w:numFmt w:val="bullet"/>
      <w:lvlText w:val="-"/>
      <w:lvlJc w:val="left"/>
      <w:pPr>
        <w:ind w:left="720" w:hanging="360"/>
      </w:pPr>
      <w:rPr>
        <w:rFonts w:ascii="Garamond" w:eastAsia="Arial Unicode MS" w:hAnsi="Garamond" w:cs="Arial Unicode M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0AB1"/>
    <w:rsid w:val="00130835"/>
    <w:rsid w:val="001F42E2"/>
    <w:rsid w:val="001F71CE"/>
    <w:rsid w:val="00233E2E"/>
    <w:rsid w:val="002961EE"/>
    <w:rsid w:val="0030474E"/>
    <w:rsid w:val="003B533D"/>
    <w:rsid w:val="00431EB7"/>
    <w:rsid w:val="004B0415"/>
    <w:rsid w:val="004B430D"/>
    <w:rsid w:val="005B24DD"/>
    <w:rsid w:val="005F2145"/>
    <w:rsid w:val="00621729"/>
    <w:rsid w:val="006A31ED"/>
    <w:rsid w:val="006B155A"/>
    <w:rsid w:val="00817C61"/>
    <w:rsid w:val="0092659D"/>
    <w:rsid w:val="00970DD3"/>
    <w:rsid w:val="00A04C0A"/>
    <w:rsid w:val="00A10111"/>
    <w:rsid w:val="00A6195F"/>
    <w:rsid w:val="00B123B1"/>
    <w:rsid w:val="00B47413"/>
    <w:rsid w:val="00B5065A"/>
    <w:rsid w:val="00BA0044"/>
    <w:rsid w:val="00BC18DB"/>
    <w:rsid w:val="00C20AB1"/>
    <w:rsid w:val="00C51D67"/>
    <w:rsid w:val="00C72EB7"/>
    <w:rsid w:val="00E327AF"/>
    <w:rsid w:val="00E64C39"/>
    <w:rsid w:val="00FC60A6"/>
    <w:rsid w:val="00FF335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685F92"/>
  <w15:chartTrackingRefBased/>
  <w15:docId w15:val="{18132D25-C299-224C-9BAC-29691CF2E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2EB7"/>
    <w:pPr>
      <w:spacing w:after="0" w:line="276" w:lineRule="auto"/>
      <w:jc w:val="both"/>
    </w:pPr>
    <w:rPr>
      <w:rFonts w:ascii="Garamond" w:hAnsi="Garamond"/>
      <w:lang w:val="en-US"/>
    </w:rPr>
  </w:style>
  <w:style w:type="paragraph" w:styleId="Ttulo1">
    <w:name w:val="heading 1"/>
    <w:aliases w:val="Filiación"/>
    <w:basedOn w:val="Normal"/>
    <w:next w:val="Normal"/>
    <w:link w:val="Ttulo1Car"/>
    <w:uiPriority w:val="9"/>
    <w:qFormat/>
    <w:rsid w:val="00C72EB7"/>
    <w:pPr>
      <w:spacing w:after="120"/>
      <w:outlineLvl w:val="0"/>
    </w:pPr>
    <w:rPr>
      <w:rFonts w:eastAsia="Cambria" w:cs="Times New Roman"/>
      <w:color w:val="7F7F7F" w:themeColor="text1" w:themeTint="80"/>
      <w:lang w:eastAsia="es-ES"/>
    </w:rPr>
  </w:style>
  <w:style w:type="paragraph" w:styleId="Ttulo2">
    <w:name w:val="heading 2"/>
    <w:basedOn w:val="Normal"/>
    <w:next w:val="Normal"/>
    <w:link w:val="Ttulo2Car"/>
    <w:uiPriority w:val="9"/>
    <w:semiHidden/>
    <w:unhideWhenUsed/>
    <w:rsid w:val="00C20AB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C20AB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C20AB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C20AB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C20AB1"/>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20AB1"/>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20AB1"/>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20AB1"/>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Filiación Car"/>
    <w:basedOn w:val="Fuentedeprrafopredeter"/>
    <w:link w:val="Ttulo1"/>
    <w:uiPriority w:val="9"/>
    <w:rsid w:val="00C72EB7"/>
    <w:rPr>
      <w:rFonts w:ascii="Garamond" w:eastAsia="Cambria" w:hAnsi="Garamond" w:cs="Times New Roman"/>
      <w:color w:val="7F7F7F" w:themeColor="text1" w:themeTint="80"/>
      <w:lang w:eastAsia="es-ES"/>
    </w:rPr>
  </w:style>
  <w:style w:type="character" w:customStyle="1" w:styleId="Ttulo2Car">
    <w:name w:val="Título 2 Car"/>
    <w:basedOn w:val="Fuentedeprrafopredeter"/>
    <w:link w:val="Ttulo2"/>
    <w:uiPriority w:val="9"/>
    <w:semiHidden/>
    <w:rsid w:val="00C20AB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C20AB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C20AB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C20AB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C20AB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20AB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20AB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20AB1"/>
    <w:rPr>
      <w:rFonts w:eastAsiaTheme="majorEastAsia" w:cstheme="majorBidi"/>
      <w:color w:val="272727" w:themeColor="text1" w:themeTint="D8"/>
    </w:rPr>
  </w:style>
  <w:style w:type="paragraph" w:styleId="Ttulo">
    <w:name w:val="Title"/>
    <w:aliases w:val="Título artículo"/>
    <w:basedOn w:val="Titulocapitulo"/>
    <w:next w:val="Normal"/>
    <w:link w:val="TtuloCar"/>
    <w:uiPriority w:val="10"/>
    <w:qFormat/>
    <w:rsid w:val="0092659D"/>
    <w:rPr>
      <w:rFonts w:ascii="Garamond" w:hAnsi="Garamond"/>
      <w:bCs/>
      <w:color w:val="80340D" w:themeColor="accent2" w:themeShade="80"/>
      <w:sz w:val="28"/>
      <w:szCs w:val="28"/>
    </w:rPr>
  </w:style>
  <w:style w:type="character" w:customStyle="1" w:styleId="TtuloCar">
    <w:name w:val="Título Car"/>
    <w:aliases w:val="Título artículo Car"/>
    <w:basedOn w:val="Fuentedeprrafopredeter"/>
    <w:link w:val="Ttulo"/>
    <w:uiPriority w:val="10"/>
    <w:rsid w:val="0092659D"/>
    <w:rPr>
      <w:rFonts w:ascii="Garamond" w:eastAsia="Cambria" w:hAnsi="Garamond" w:cs="Times New Roman"/>
      <w:b/>
      <w:bCs/>
      <w:color w:val="80340D" w:themeColor="accent2" w:themeShade="80"/>
      <w:kern w:val="0"/>
      <w:sz w:val="28"/>
      <w:szCs w:val="28"/>
      <w:lang w:val="es-ES_tradnl" w:eastAsia="es-ES"/>
      <w14:ligatures w14:val="none"/>
    </w:rPr>
  </w:style>
  <w:style w:type="paragraph" w:styleId="Subttulo">
    <w:name w:val="Subtitle"/>
    <w:aliases w:val="Nombre autoría"/>
    <w:basedOn w:val="Autor"/>
    <w:next w:val="Normal"/>
    <w:link w:val="SubttuloCar"/>
    <w:uiPriority w:val="11"/>
    <w:qFormat/>
    <w:rsid w:val="0092659D"/>
    <w:pPr>
      <w:jc w:val="left"/>
    </w:pPr>
    <w:rPr>
      <w:b w:val="0"/>
      <w:bCs w:val="0"/>
    </w:rPr>
  </w:style>
  <w:style w:type="character" w:customStyle="1" w:styleId="SubttuloCar">
    <w:name w:val="Subtítulo Car"/>
    <w:aliases w:val="Nombre autoría Car"/>
    <w:basedOn w:val="Fuentedeprrafopredeter"/>
    <w:link w:val="Subttulo"/>
    <w:uiPriority w:val="11"/>
    <w:rsid w:val="0092659D"/>
    <w:rPr>
      <w:rFonts w:ascii="Garamond" w:eastAsia="Cambria" w:hAnsi="Garamond" w:cs="Times New Roman"/>
      <w:b/>
      <w:bCs/>
      <w:color w:val="7F7F7F" w:themeColor="text1" w:themeTint="80"/>
      <w:kern w:val="0"/>
      <w:sz w:val="28"/>
      <w:szCs w:val="28"/>
      <w:lang w:val="es-ES_tradnl" w:eastAsia="es-ES"/>
      <w14:ligatures w14:val="none"/>
    </w:rPr>
  </w:style>
  <w:style w:type="paragraph" w:styleId="Cita">
    <w:name w:val="Quote"/>
    <w:basedOn w:val="Resumen"/>
    <w:next w:val="Normal"/>
    <w:link w:val="CitaCar"/>
    <w:uiPriority w:val="29"/>
    <w:rsid w:val="0092659D"/>
    <w:pPr>
      <w:ind w:right="55"/>
    </w:pPr>
    <w:rPr>
      <w:kern w:val="2"/>
      <w:lang w:val="en-US"/>
      <w14:ligatures w14:val="standardContextual"/>
    </w:rPr>
  </w:style>
  <w:style w:type="character" w:customStyle="1" w:styleId="CitaCar">
    <w:name w:val="Cita Car"/>
    <w:basedOn w:val="Fuentedeprrafopredeter"/>
    <w:link w:val="Cita"/>
    <w:uiPriority w:val="29"/>
    <w:rsid w:val="0092659D"/>
    <w:rPr>
      <w:rFonts w:ascii="Garamond" w:hAnsi="Garamond"/>
      <w:lang w:val="en-US"/>
    </w:rPr>
  </w:style>
  <w:style w:type="paragraph" w:styleId="Prrafodelista">
    <w:name w:val="List Paragraph"/>
    <w:aliases w:val="Referencias"/>
    <w:basedOn w:val="Normal"/>
    <w:uiPriority w:val="34"/>
    <w:qFormat/>
    <w:rsid w:val="006B155A"/>
    <w:pPr>
      <w:spacing w:before="240"/>
      <w:ind w:left="567" w:hanging="567"/>
    </w:pPr>
    <w:rPr>
      <w:lang w:eastAsia="es-ES_tradnl"/>
    </w:rPr>
  </w:style>
  <w:style w:type="character" w:styleId="nfasisintenso">
    <w:name w:val="Intense Emphasis"/>
    <w:basedOn w:val="Fuentedeprrafopredeter"/>
    <w:uiPriority w:val="21"/>
    <w:rsid w:val="00C20AB1"/>
    <w:rPr>
      <w:i/>
      <w:iCs/>
      <w:color w:val="0F4761" w:themeColor="accent1" w:themeShade="BF"/>
    </w:rPr>
  </w:style>
  <w:style w:type="paragraph" w:styleId="Citadestacada">
    <w:name w:val="Intense Quote"/>
    <w:basedOn w:val="Normal"/>
    <w:next w:val="Normal"/>
    <w:link w:val="CitadestacadaCar"/>
    <w:uiPriority w:val="30"/>
    <w:rsid w:val="00C20A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C20AB1"/>
    <w:rPr>
      <w:i/>
      <w:iCs/>
      <w:color w:val="0F4761" w:themeColor="accent1" w:themeShade="BF"/>
    </w:rPr>
  </w:style>
  <w:style w:type="character" w:styleId="Referenciaintensa">
    <w:name w:val="Intense Reference"/>
    <w:basedOn w:val="Fuentedeprrafopredeter"/>
    <w:uiPriority w:val="32"/>
    <w:rsid w:val="00C20AB1"/>
    <w:rPr>
      <w:b/>
      <w:bCs/>
      <w:smallCaps/>
      <w:color w:val="0F4761" w:themeColor="accent1" w:themeShade="BF"/>
      <w:spacing w:val="5"/>
    </w:rPr>
  </w:style>
  <w:style w:type="paragraph" w:styleId="Encabezado">
    <w:name w:val="header"/>
    <w:basedOn w:val="Normal"/>
    <w:link w:val="EncabezadoCar"/>
    <w:uiPriority w:val="99"/>
    <w:unhideWhenUsed/>
    <w:rsid w:val="00C20AB1"/>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C20AB1"/>
  </w:style>
  <w:style w:type="paragraph" w:styleId="Piedepgina">
    <w:name w:val="footer"/>
    <w:basedOn w:val="Normal"/>
    <w:link w:val="PiedepginaCar"/>
    <w:uiPriority w:val="99"/>
    <w:unhideWhenUsed/>
    <w:rsid w:val="00C20AB1"/>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C20AB1"/>
  </w:style>
  <w:style w:type="character" w:styleId="Nmerodepgina">
    <w:name w:val="page number"/>
    <w:basedOn w:val="Fuentedeprrafopredeter"/>
    <w:uiPriority w:val="99"/>
    <w:semiHidden/>
    <w:unhideWhenUsed/>
    <w:rsid w:val="00B47413"/>
  </w:style>
  <w:style w:type="paragraph" w:customStyle="1" w:styleId="Titulocapitulo">
    <w:name w:val="Titulo capitulo"/>
    <w:basedOn w:val="Normal"/>
    <w:rsid w:val="00BC18DB"/>
    <w:pPr>
      <w:spacing w:after="120" w:line="240" w:lineRule="auto"/>
    </w:pPr>
    <w:rPr>
      <w:rFonts w:ascii="Abadi" w:eastAsia="Cambria" w:hAnsi="Abadi" w:cs="Times New Roman"/>
      <w:b/>
      <w:color w:val="365F91"/>
      <w:kern w:val="0"/>
      <w:sz w:val="32"/>
      <w:szCs w:val="32"/>
      <w:lang w:val="es-ES_tradnl" w:eastAsia="es-ES"/>
      <w14:ligatures w14:val="none"/>
    </w:rPr>
  </w:style>
  <w:style w:type="paragraph" w:customStyle="1" w:styleId="Autor">
    <w:name w:val="Autor"/>
    <w:basedOn w:val="Normal"/>
    <w:qFormat/>
    <w:rsid w:val="00C72EB7"/>
    <w:pPr>
      <w:spacing w:line="240" w:lineRule="auto"/>
    </w:pPr>
    <w:rPr>
      <w:rFonts w:eastAsia="Cambria" w:cs="Times New Roman"/>
      <w:b/>
      <w:bCs/>
      <w:color w:val="7F7F7F" w:themeColor="text1" w:themeTint="80"/>
      <w:kern w:val="0"/>
      <w:sz w:val="28"/>
      <w:szCs w:val="28"/>
      <w:lang w:val="es-ES_tradnl" w:eastAsia="es-ES"/>
      <w14:ligatures w14:val="none"/>
    </w:rPr>
  </w:style>
  <w:style w:type="paragraph" w:customStyle="1" w:styleId="Cargo">
    <w:name w:val="Cargo"/>
    <w:basedOn w:val="Normal"/>
    <w:qFormat/>
    <w:rsid w:val="00C72EB7"/>
    <w:pPr>
      <w:spacing w:line="240" w:lineRule="auto"/>
    </w:pPr>
    <w:rPr>
      <w:rFonts w:eastAsia="Cambria" w:cs="Times New Roman"/>
      <w:i/>
      <w:iCs/>
      <w:color w:val="7F7F7F" w:themeColor="text1" w:themeTint="80"/>
      <w:kern w:val="0"/>
      <w:lang w:val="es-ES_tradnl" w:eastAsia="es-ES"/>
      <w14:ligatures w14:val="none"/>
    </w:rPr>
  </w:style>
  <w:style w:type="paragraph" w:customStyle="1" w:styleId="Resumen">
    <w:name w:val="Resumen"/>
    <w:aliases w:val="abstratc,palabras clave"/>
    <w:basedOn w:val="Autor"/>
    <w:rsid w:val="00C72EB7"/>
    <w:rPr>
      <w:sz w:val="24"/>
      <w:szCs w:val="24"/>
    </w:rPr>
  </w:style>
  <w:style w:type="paragraph" w:customStyle="1" w:styleId="Sumario">
    <w:name w:val="Sumario"/>
    <w:basedOn w:val="Normal"/>
    <w:rsid w:val="00431EB7"/>
    <w:pPr>
      <w:spacing w:after="120" w:line="240" w:lineRule="auto"/>
    </w:pPr>
    <w:rPr>
      <w:rFonts w:ascii="Century" w:eastAsia="MS Mincho" w:hAnsi="Century" w:cs="Times New Roman"/>
      <w:color w:val="365F91"/>
      <w:kern w:val="0"/>
      <w:sz w:val="20"/>
      <w:szCs w:val="20"/>
      <w:lang w:val="es-ES_tradnl" w:eastAsia="ja-JP"/>
      <w14:ligatures w14:val="none"/>
    </w:rPr>
  </w:style>
  <w:style w:type="character" w:styleId="Refdenotaalpie">
    <w:name w:val="footnote reference"/>
    <w:semiHidden/>
    <w:rsid w:val="00A10111"/>
    <w:rPr>
      <w:vertAlign w:val="superscript"/>
    </w:rPr>
  </w:style>
  <w:style w:type="paragraph" w:customStyle="1" w:styleId="1nivel">
    <w:name w:val="1 nivel"/>
    <w:basedOn w:val="Normal"/>
    <w:rsid w:val="00A10111"/>
    <w:pPr>
      <w:spacing w:after="120" w:line="240" w:lineRule="auto"/>
    </w:pPr>
    <w:rPr>
      <w:rFonts w:ascii="Abadi" w:eastAsia="MS Mincho" w:hAnsi="Abadi" w:cs="Times New Roman"/>
      <w:b/>
      <w:color w:val="365F91"/>
      <w:kern w:val="0"/>
      <w:sz w:val="20"/>
      <w:szCs w:val="20"/>
      <w:lang w:val="es-ES_tradnl" w:eastAsia="ja-JP"/>
      <w14:ligatures w14:val="none"/>
    </w:rPr>
  </w:style>
  <w:style w:type="paragraph" w:customStyle="1" w:styleId="Notaapie">
    <w:name w:val="Nota a pie"/>
    <w:basedOn w:val="Textonotapie"/>
    <w:qFormat/>
    <w:rsid w:val="00A10111"/>
    <w:rPr>
      <w:rFonts w:ascii="Abadi" w:eastAsia="Times New Roman" w:hAnsi="Abadi" w:cs="Times New Roman"/>
      <w:kern w:val="0"/>
      <w:sz w:val="16"/>
      <w:szCs w:val="16"/>
      <w:lang w:val="en-GB" w:eastAsia="es-ES"/>
      <w14:ligatures w14:val="none"/>
    </w:rPr>
  </w:style>
  <w:style w:type="paragraph" w:customStyle="1" w:styleId="Textonormal">
    <w:name w:val="Texto normal"/>
    <w:basedOn w:val="NormalWeb"/>
    <w:rsid w:val="00A10111"/>
    <w:pPr>
      <w:spacing w:after="120" w:line="240" w:lineRule="auto"/>
    </w:pPr>
    <w:rPr>
      <w:rFonts w:ascii="Abadi" w:eastAsia="Arial Unicode MS" w:hAnsi="Abadi" w:cs="Arial Unicode MS"/>
      <w:kern w:val="0"/>
      <w:sz w:val="20"/>
      <w:szCs w:val="20"/>
      <w:lang w:eastAsia="es-ES"/>
      <w14:ligatures w14:val="none"/>
    </w:rPr>
  </w:style>
  <w:style w:type="paragraph" w:styleId="Textonotapie">
    <w:name w:val="footnote text"/>
    <w:basedOn w:val="Normal"/>
    <w:link w:val="TextonotapieCar"/>
    <w:semiHidden/>
    <w:unhideWhenUsed/>
    <w:rsid w:val="00A10111"/>
    <w:pPr>
      <w:spacing w:line="240" w:lineRule="auto"/>
    </w:pPr>
    <w:rPr>
      <w:sz w:val="20"/>
      <w:szCs w:val="20"/>
    </w:rPr>
  </w:style>
  <w:style w:type="character" w:customStyle="1" w:styleId="TextonotapieCar">
    <w:name w:val="Texto nota pie Car"/>
    <w:basedOn w:val="Fuentedeprrafopredeter"/>
    <w:link w:val="Textonotapie"/>
    <w:semiHidden/>
    <w:rsid w:val="00A10111"/>
    <w:rPr>
      <w:sz w:val="20"/>
      <w:szCs w:val="20"/>
    </w:rPr>
  </w:style>
  <w:style w:type="paragraph" w:styleId="NormalWeb">
    <w:name w:val="Normal (Web)"/>
    <w:basedOn w:val="Normal"/>
    <w:uiPriority w:val="99"/>
    <w:semiHidden/>
    <w:unhideWhenUsed/>
    <w:rsid w:val="00A10111"/>
    <w:rPr>
      <w:rFonts w:ascii="Times New Roman" w:hAnsi="Times New Roman" w:cs="Times New Roman"/>
    </w:rPr>
  </w:style>
  <w:style w:type="paragraph" w:customStyle="1" w:styleId="Bibliografia">
    <w:name w:val="Bibliografia"/>
    <w:basedOn w:val="Textonotapie"/>
    <w:rsid w:val="004B0415"/>
    <w:pPr>
      <w:spacing w:after="120"/>
    </w:pPr>
    <w:rPr>
      <w:rFonts w:ascii="Abadi" w:eastAsia="Times New Roman" w:hAnsi="Abadi" w:cs="Times New Roman"/>
      <w:kern w:val="0"/>
      <w:lang w:eastAsia="es-ES"/>
      <w14:ligatures w14:val="none"/>
    </w:rPr>
  </w:style>
  <w:style w:type="paragraph" w:customStyle="1" w:styleId="1NIVEL-PLANTILLAREVISTA">
    <w:name w:val="1º NIVEL - PLANTILLA REVISTA"/>
    <w:basedOn w:val="Normal"/>
    <w:next w:val="Normal"/>
    <w:qFormat/>
    <w:rsid w:val="00BA0044"/>
    <w:pPr>
      <w:spacing w:before="120" w:after="120" w:line="240" w:lineRule="auto"/>
    </w:pPr>
    <w:rPr>
      <w:b/>
      <w:bCs/>
      <w:color w:val="80340D" w:themeColor="accent2" w:themeShade="80"/>
    </w:rPr>
  </w:style>
  <w:style w:type="paragraph" w:customStyle="1" w:styleId="2NIVEL-PLANTILLAREVISTA">
    <w:name w:val="2º NIVEL - PLANTILLA REVISTA"/>
    <w:basedOn w:val="Normal"/>
    <w:next w:val="Normal"/>
    <w:qFormat/>
    <w:rsid w:val="00BA0044"/>
    <w:pPr>
      <w:spacing w:before="240" w:after="240"/>
    </w:pPr>
    <w:rPr>
      <w:b/>
      <w:bCs/>
      <w:color w:val="80340D" w:themeColor="accent2" w:themeShade="80"/>
    </w:rPr>
  </w:style>
  <w:style w:type="paragraph" w:customStyle="1" w:styleId="3NIVEL-PLANTILLAREVISTA">
    <w:name w:val="3º NIVEL - PLANTILLA REVISTA"/>
    <w:basedOn w:val="1nivel"/>
    <w:qFormat/>
    <w:rsid w:val="00BA0044"/>
    <w:pPr>
      <w:spacing w:before="120" w:after="240"/>
      <w:ind w:left="142"/>
    </w:pPr>
    <w:rPr>
      <w:rFonts w:ascii="Garamond" w:hAnsi="Garamond"/>
      <w:bCs/>
      <w:i/>
      <w:iCs/>
      <w:color w:val="80340D" w:themeColor="accent2" w:themeShade="80"/>
      <w:sz w:val="24"/>
      <w:szCs w:val="24"/>
    </w:rPr>
  </w:style>
  <w:style w:type="paragraph" w:customStyle="1" w:styleId="4NIVEL-PLANTILLAREVISTA">
    <w:name w:val="4º NIVEL - PLANTILLA REVISTA"/>
    <w:basedOn w:val="1nivel"/>
    <w:rsid w:val="00C51D67"/>
    <w:rPr>
      <w:rFonts w:ascii="Garamond" w:hAnsi="Garamond"/>
      <w:bCs/>
      <w:color w:val="80340D" w:themeColor="accent2" w:themeShade="80"/>
      <w:sz w:val="24"/>
      <w:szCs w:val="24"/>
    </w:rPr>
  </w:style>
  <w:style w:type="character" w:styleId="Ttulodellibro">
    <w:name w:val="Book Title"/>
    <w:aliases w:val="Resumen/Abstract/palabras clave"/>
    <w:basedOn w:val="Ttulo1Car"/>
    <w:uiPriority w:val="33"/>
    <w:qFormat/>
    <w:rsid w:val="00C72EB7"/>
    <w:rPr>
      <w:rFonts w:ascii="Garamond" w:eastAsia="Cambria" w:hAnsi="Garamond" w:cs="Arial"/>
      <w:b/>
      <w:bCs/>
      <w:color w:val="80340D" w:themeColor="accent2" w:themeShade="80"/>
      <w:sz w:val="24"/>
      <w:szCs w:val="24"/>
      <w:u w:val="none"/>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761</Words>
  <Characters>4186</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Fco Ramirez</dc:creator>
  <cp:keywords/>
  <dc:description/>
  <cp:lastModifiedBy>Margarita1</cp:lastModifiedBy>
  <cp:revision>2</cp:revision>
  <dcterms:created xsi:type="dcterms:W3CDTF">2025-10-18T12:19:00Z</dcterms:created>
  <dcterms:modified xsi:type="dcterms:W3CDTF">2025-10-18T12:19:00Z</dcterms:modified>
</cp:coreProperties>
</file>